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trHeight w:val="8470" w:hRule="atLeast"/>
        </w:trPr>
        <w:tc>
          <w:tcPr>
            <w:tcW w:type="dxa" w:w="91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/>
          <w:tbl>
            <w:tblPr>
              <w:tblW w:type="dxa" w:w="9000"/>
              <w:tblLayout w:type="fixed"/>
              <w:tblLook w:firstColumn="1" w:firstRow="1" w:lastColumn="0" w:lastRow="0" w:noHBand="0" w:noVBand="1" w:val="04A0"/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shd w:val="clear" w:color="auto" w:fill="1B6B93"/>
                  <w:tcMar>
                    <w:top w:w="360" w:type="dxa"/>
                    <w:left w:w="320" w:type="dxa"/>
                    <w:bottom w:w="360" w:type="dxa"/>
                    <w:right w:w="320" w:type="dxa"/>
                  </w:tcMar>
                </w:tcPr>
                <w:p>
                  <w:pPr>
                    <w:spacing w:before="40"/>
                  </w:pPr>
                  <w:r/>
                  <w:r>
                    <w:rPr>
                      <w:b/>
                      <w:color w:val="FFFFFF"/>
                      <w:sz w:val="68"/>
                    </w:rPr>
                    <w:t>Digital Transformation Program — FY 2026</w:t>
                  </w:r>
                </w:p>
                <w:p>
                  <w:pPr>
                    <w:spacing w:before="120"/>
                  </w:pPr>
                  <w:r>
                    <w:rPr>
                      <w:color w:val="C6DAE4"/>
                      <w:sz w:val="28"/>
                    </w:rPr>
                    <w:t>Strategic plan, roadmap and budget</w:t>
                  </w:r>
                </w:p>
              </w:tc>
            </w:tr>
          </w:tbl>
          <w:p/>
        </w:tc>
      </w:tr>
      <w:tr>
        <w:trPr>
          <w:trHeight w:val="4799" w:hRule="atLeast"/>
        </w:trPr>
        <w:tc>
          <w:tcPr>
            <w:tcW w:type="dxa" w:w="91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Bdr>
                <w:top w:val="single" w:sz="6" w:space="6" w:color="6B9FB9"/>
              </w:pBdr>
              <w:tabs>
                <w:tab w:pos="9184" w:val="right"/>
              </w:tabs>
              <w:spacing w:after="0" w:before="120"/>
            </w:pPr>
            <w:r>
              <w:rPr>
                <w:b/>
                <w:color w:val="1A1A1A"/>
                <w:sz w:val="22"/>
              </w:rPr>
              <w:t>Northwind Analytics</w:t>
            </w:r>
            <w:r>
              <w:tab/>
            </w:r>
            <w:r>
              <w:rPr>
                <w:color w:val="4A4E57"/>
                <w:sz w:val="22"/>
              </w:rPr>
              <w:t>March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</w:rPr>
        <w:t xml:space="preserve">1  </w:t>
      </w:r>
      <w:r>
        <w:t>Executive Summary</w:t>
      </w:r>
    </w:p>
    <w:p>
      <w:pPr>
        <w:spacing w:after="120" w:line="276" w:lineRule="auto"/>
        <w:jc w:val="left"/>
      </w:pPr>
      <w:r>
        <w:t xml:space="preserve">This document outlines the </w:t>
      </w:r>
      <w:r>
        <w:rPr>
          <w:b/>
        </w:rPr>
        <w:t>digital transformation program</w:t>
      </w:r>
      <w:r>
        <w:t xml:space="preserve"> for FY 2026–2028, with three goals: modernize the technical infrastructure, streamline operations, and embed AI into the decision-making workflow.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b/>
                <w:color w:val="2E75B6"/>
              </w:rPr>
              <w:t xml:space="preserve">ℹ </w:t>
            </w:r>
            <w:r>
              <w:rPr>
                <w:b/>
                <w:color w:val="2E75B6"/>
              </w:rPr>
              <w:t>Context</w:t>
            </w:r>
          </w:p>
          <w:p>
            <w:r>
              <w:t xml:space="preserve">The Q1 2026 market survey shows that </w:t>
            </w:r>
            <w:r>
              <w:rPr>
                <w:b/>
              </w:rPr>
              <w:t>67% of companies</w:t>
            </w:r>
            <w:r>
              <w:t xml:space="preserve"> in our sector have already started an advanced digitalization effort. Falling behind on AI adoption carries an estimated competitive risk of </w:t>
            </w:r>
            <w:r>
              <w:rPr>
                <w:b/>
                <w:color w:val="1B6B93"/>
              </w:rPr>
              <w:t>15–20 percentage points</w:t>
            </w:r>
            <w:r>
              <w:t xml:space="preserve"> of operating margin.</w:t>
            </w:r>
          </w:p>
        </w:tc>
      </w:tr>
    </w:tbl>
    <w:p>
      <w:pPr>
        <w:pStyle w:val="Heading2"/>
      </w:pPr>
      <w:r>
        <w:rPr>
          <w:b/>
          <w:color w:val="1B6B93"/>
        </w:rPr>
        <w:t xml:space="preserve">1.1  </w:t>
      </w:r>
      <w:r>
        <w:t>Key Objectives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3028"/>
        <w:gridCol w:w="2840"/>
        <w:gridCol w:w="1602"/>
        <w:gridCol w:w="1714"/>
      </w:tblGrid>
      <w:tr>
        <w:trPr>
          <w:tblHeader/>
        </w:trPr>
        <w:tc>
          <w:tcPr>
            <w:tcW w:type="dxa" w:w="3028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840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KPI target</w:t>
            </w:r>
          </w:p>
        </w:tc>
        <w:tc>
          <w:tcPr>
            <w:tcW w:type="dxa" w:w="1602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1714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Process automation</w:t>
            </w:r>
          </w:p>
        </w:tc>
        <w:tc>
          <w:tcPr>
            <w:tcW w:type="dxa" w:w="28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80% of flows automated</w:t>
            </w:r>
          </w:p>
        </w:tc>
        <w:tc>
          <w:tcPr>
            <w:tcW w:type="dxa" w:w="1602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Q4 2026</w:t>
            </w:r>
          </w:p>
        </w:tc>
        <w:tc>
          <w:tcPr>
            <w:tcW w:type="dxa" w:w="1714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B6B93"/>
              </w:rPr>
              <w:t>High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Operating cost reduction</w:t>
            </w:r>
          </w:p>
        </w:tc>
        <w:tc>
          <w:tcPr>
            <w:tcW w:type="dxa" w:w="28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−25% vs. 2025 baseline</w:t>
            </w:r>
          </w:p>
        </w:tc>
        <w:tc>
          <w:tcPr>
            <w:tcW w:type="dxa" w:w="1602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Q2 2027</w:t>
            </w:r>
          </w:p>
        </w:tc>
        <w:tc>
          <w:tcPr>
            <w:tcW w:type="dxa" w:w="1714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B6B93"/>
              </w:rPr>
              <w:t>High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Customer satisfaction (NPS)</w:t>
            </w:r>
          </w:p>
        </w:tc>
        <w:tc>
          <w:tcPr>
            <w:tcW w:type="dxa" w:w="28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≥ 72</w:t>
            </w:r>
          </w:p>
        </w:tc>
        <w:tc>
          <w:tcPr>
            <w:tcW w:type="dxa" w:w="1602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Q4 2027</w:t>
            </w:r>
          </w:p>
        </w:tc>
        <w:tc>
          <w:tcPr>
            <w:tcW w:type="dxa" w:w="1714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Medium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GDPR / NIS2 compliance</w:t>
            </w:r>
          </w:p>
        </w:tc>
        <w:tc>
          <w:tcPr>
            <w:tcW w:type="dxa" w:w="28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100% audits passed</w:t>
            </w:r>
          </w:p>
        </w:tc>
        <w:tc>
          <w:tcPr>
            <w:tcW w:type="dxa" w:w="1602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Q1 2027</w:t>
            </w:r>
          </w:p>
        </w:tc>
        <w:tc>
          <w:tcPr>
            <w:tcW w:type="dxa" w:w="1714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B6B93"/>
              </w:rPr>
              <w:t>Critical</w:t>
            </w:r>
          </w:p>
        </w:tc>
      </w:tr>
      <w:tr>
        <w:tc>
          <w:tcPr>
            <w:tcW w:type="dxa" w:w="3028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Revenue from new services</w:t>
            </w:r>
          </w:p>
        </w:tc>
        <w:tc>
          <w:tcPr>
            <w:tcW w:type="dxa" w:w="28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+€1.2M</w:t>
            </w:r>
          </w:p>
        </w:tc>
        <w:tc>
          <w:tcPr>
            <w:tcW w:type="dxa" w:w="1602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Q4 2028</w:t>
            </w:r>
          </w:p>
        </w:tc>
        <w:tc>
          <w:tcPr>
            <w:tcW w:type="dxa" w:w="1714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Medium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pStyle w:val="Heading2"/>
      </w:pPr>
      <w:r>
        <w:rPr>
          <w:b/>
          <w:color w:val="1B6B93"/>
        </w:rPr>
        <w:t xml:space="preserve">1.2  </w:t>
      </w:r>
      <w:r>
        <w:t>Investment</w:t>
      </w:r>
    </w:p>
    <w:p>
      <w:pPr>
        <w:spacing w:after="120" w:line="276" w:lineRule="auto"/>
        <w:jc w:val="left"/>
      </w:pPr>
      <w:r>
        <w:t xml:space="preserve">The total investment is estimated at </w:t>
      </w:r>
      <w:r>
        <w:rPr>
          <w:b/>
        </w:rPr>
        <w:t>€850,000</w:t>
      </w:r>
      <w:r>
        <w:t xml:space="preserve">, split across three phases as detailed below. A </w:t>
      </w:r>
      <w:r>
        <w:rPr>
          <w:b/>
        </w:rPr>
        <w:t>15% contingency fund</w:t>
      </w:r>
      <w:r>
        <w:t xml:space="preserve"> is recommended.</w:t>
      </w:r>
    </w:p>
    <w:p>
      <w:pPr>
        <w:pStyle w:val="Heading1"/>
      </w:pPr>
      <w:r>
        <w:rPr>
          <w:b/>
          <w:color w:val="1F2A44"/>
        </w:rPr>
        <w:t xml:space="preserve">2  </w:t>
      </w:r>
      <w:r>
        <w:t>Implementation Phases</w:t>
      </w:r>
    </w:p>
    <w:p>
      <w:pPr>
        <w:pStyle w:val="Heading2"/>
      </w:pPr>
      <w:r>
        <w:rPr>
          <w:b/>
          <w:color w:val="1B6B93"/>
        </w:rPr>
        <w:t xml:space="preserve">2.1  </w:t>
      </w:r>
      <w:r>
        <w:t>Phase 1 — Foundations (Q2–Q3 2026)</w:t>
      </w:r>
    </w:p>
    <w:p>
      <w:pPr>
        <w:spacing w:after="120" w:line="276" w:lineRule="auto"/>
        <w:jc w:val="left"/>
      </w:pPr>
      <w:r>
        <w:t>The first phase modernizes the infrastructure and creates a unified data layer.</w:t>
      </w:r>
    </w:p>
    <w:p>
      <w:pPr>
        <w:numPr>
          <w:ilvl w:val="0"/>
          <w:numId w:val="10"/>
        </w:numPr>
        <w:spacing w:after="40" w:before="0" w:line="276" w:lineRule="auto"/>
      </w:pPr>
      <w:r>
        <w:rPr>
          <w:b/>
        </w:rPr>
        <w:t>Hybrid cloud migration</w:t>
      </w:r>
      <w:r>
        <w:t xml:space="preserve"> — multi-node Kubernetes cluster, distributed storage with geo-replication, automatic TLS and load balancing</w:t>
      </w:r>
    </w:p>
    <w:p>
      <w:pPr>
        <w:numPr>
          <w:ilvl w:val="0"/>
          <w:numId w:val="10"/>
        </w:numPr>
        <w:spacing w:after="40" w:before="0" w:line="276" w:lineRule="auto"/>
      </w:pPr>
      <w:r>
        <w:rPr>
          <w:b/>
        </w:rPr>
        <w:t>Enterprise data lake</w:t>
      </w:r>
      <w:r>
        <w:t xml:space="preserve"> — consolidate 12 fragmented data sources, real-time ETL pipelines, governance framework with classification and retention</w:t>
      </w:r>
    </w:p>
    <w:p>
      <w:pPr>
        <w:numPr>
          <w:ilvl w:val="0"/>
          <w:numId w:val="10"/>
        </w:numPr>
        <w:spacing w:after="40" w:before="0" w:line="276" w:lineRule="auto"/>
      </w:pPr>
      <w:r>
        <w:rPr>
          <w:b/>
        </w:rPr>
        <w:t>Security hardening</w:t>
      </w:r>
      <w:r>
        <w:t xml:space="preserve"> — Zero Trust architecture, SIEM with automated threat detection, quarterly penetration testing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4" w:space="0" w:color="FFF4E5"/>
              <w:left w:val="single" w:sz="24" w:space="0" w:color="ED7D31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b/>
                <w:color w:val="ED7D31"/>
              </w:rPr>
              <w:t xml:space="preserve">⚠ </w:t>
            </w:r>
            <w:r>
              <w:rPr>
                <w:b/>
                <w:color w:val="ED7D31"/>
              </w:rPr>
              <w:t>Identified risk</w:t>
            </w:r>
          </w:p>
          <w:p>
            <w:r>
              <w:t xml:space="preserve">Migrating legacy data requires an estimated </w:t>
            </w:r>
            <w:r>
              <w:rPr>
                <w:b/>
              </w:rPr>
              <w:t>72-hour</w:t>
            </w:r>
            <w:r>
              <w:t xml:space="preserve"> downtime window. A rollback plan is in place with RPO &lt; 4h and RTO &lt; 2h.</w:t>
            </w:r>
          </w:p>
        </w:tc>
      </w:tr>
    </w:tbl>
    <w:p>
      <w:pPr>
        <w:pStyle w:val="Heading2"/>
      </w:pPr>
      <w:r>
        <w:rPr>
          <w:b/>
          <w:color w:val="1B6B93"/>
        </w:rPr>
        <w:t xml:space="preserve">2.2  </w:t>
      </w:r>
      <w:r>
        <w:t>Phase 2 — Intelligent Automation (Q4 2026 – Q1 2027)</w:t>
      </w:r>
    </w:p>
    <w:p>
      <w:pPr>
        <w:spacing w:after="120" w:line="276" w:lineRule="auto"/>
        <w:jc w:val="left"/>
      </w:pPr>
      <w:r>
        <w:t>Introduce AI systems for repetitive-task automation and decision support. The platform is organized in three layers, each with clear ownership.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3038"/>
        <w:gridCol w:w="6146"/>
      </w:tblGrid>
      <w:tr>
        <w:trPr>
          <w:tblHeader/>
        </w:trPr>
        <w:tc>
          <w:tcPr>
            <w:tcW w:type="dxa" w:w="3038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146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Key components</w:t>
            </w:r>
          </w:p>
        </w:tc>
      </w:tr>
      <w:tr>
        <w:tc>
          <w:tcPr>
            <w:tcW w:type="dxa" w:w="3038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</w:rPr>
              <w:t>Application</w:t>
            </w:r>
          </w:p>
        </w:tc>
        <w:tc>
          <w:tcPr>
            <w:tcW w:type="dxa" w:w="6146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Dashboards · Workflows · Alerting · Reporting</w:t>
            </w:r>
          </w:p>
        </w:tc>
      </w:tr>
      <w:tr>
        <w:tc>
          <w:tcPr>
            <w:tcW w:type="dxa" w:w="3038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</w:rPr>
              <w:t>AI / ML</w:t>
            </w:r>
          </w:p>
        </w:tc>
        <w:tc>
          <w:tcPr>
            <w:tcW w:type="dxa" w:w="6146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NLP · Computer Vision · Predictive Models</w:t>
            </w:r>
          </w:p>
        </w:tc>
      </w:tr>
      <w:tr>
        <w:tc>
          <w:tcPr>
            <w:tcW w:type="dxa" w:w="3038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</w:rPr>
              <w:t>Data</w:t>
            </w:r>
          </w:p>
        </w:tc>
        <w:tc>
          <w:tcPr>
            <w:tcW w:type="dxa" w:w="6146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Vector DB · Knowledge Graph · Data Lake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after="120" w:line="276" w:lineRule="auto"/>
        <w:jc w:val="left"/>
      </w:pPr>
      <w:r>
        <w:t>Priority use cases:</w:t>
      </w:r>
    </w:p>
    <w:p>
      <w:pPr>
        <w:numPr>
          <w:ilvl w:val="0"/>
          <w:numId w:val="10"/>
        </w:numPr>
        <w:spacing w:after="40" w:before="0" w:line="276" w:lineRule="auto"/>
      </w:pPr>
      <w:r>
        <w:rPr>
          <w:b/>
        </w:rPr>
        <w:t>Automatic document classification</w:t>
      </w:r>
      <w:r>
        <w:t xml:space="preserve"> — sorting time from 4h/day to 15 min</w:t>
      </w:r>
    </w:p>
    <w:p>
      <w:pPr>
        <w:numPr>
          <w:ilvl w:val="0"/>
          <w:numId w:val="10"/>
        </w:numPr>
        <w:spacing w:after="40" w:before="0" w:line="276" w:lineRule="auto"/>
      </w:pPr>
      <w:r>
        <w:rPr>
          <w:b/>
        </w:rPr>
        <w:t>Communication triage</w:t>
      </w:r>
      <w:r>
        <w:t xml:space="preserve"> — semantic routing of email and messages</w:t>
      </w:r>
    </w:p>
    <w:p>
      <w:pPr>
        <w:numPr>
          <w:ilvl w:val="0"/>
          <w:numId w:val="10"/>
        </w:numPr>
        <w:spacing w:after="40" w:before="0" w:line="276" w:lineRule="auto"/>
      </w:pPr>
      <w:r>
        <w:rPr>
          <w:b/>
        </w:rPr>
        <w:t>Bank reconciliation</w:t>
      </w:r>
      <w:r>
        <w:t xml:space="preserve"> — automatic matching, target accuracy &gt; 95%</w:t>
      </w:r>
    </w:p>
    <w:p>
      <w:pPr>
        <w:numPr>
          <w:ilvl w:val="0"/>
          <w:numId w:val="10"/>
        </w:numPr>
        <w:spacing w:after="40" w:before="0" w:line="276" w:lineRule="auto"/>
      </w:pPr>
      <w:r>
        <w:rPr>
          <w:b/>
        </w:rPr>
        <w:t>Report generation</w:t>
      </w:r>
      <w:r>
        <w:t xml:space="preserve"> — KPI summaries with natural-language narrative</w:t>
      </w:r>
    </w:p>
    <w:p>
      <w:r>
        <w:br w:type="page"/>
      </w:r>
    </w:p>
    <w:p>
      <w:pPr>
        <w:pStyle w:val="Heading1"/>
      </w:pPr>
      <w:r>
        <w:rPr>
          <w:b/>
          <w:color w:val="1F2A44"/>
        </w:rPr>
        <w:t xml:space="preserve">3  </w:t>
      </w:r>
      <w:r>
        <w:t>Risk Analysis</w:t>
      </w:r>
    </w:p>
    <w:p>
      <w:pPr>
        <w:spacing w:after="120" w:line="276" w:lineRule="auto"/>
        <w:jc w:val="left"/>
      </w:pPr>
      <w:r>
        <w:t>The matrix below summarizes the main project risks and mitigations.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1015"/>
        <w:gridCol w:w="2114"/>
        <w:gridCol w:w="1375"/>
        <w:gridCol w:w="1311"/>
        <w:gridCol w:w="3369"/>
      </w:tblGrid>
      <w:tr>
        <w:trPr>
          <w:tblHeader/>
        </w:trPr>
        <w:tc>
          <w:tcPr>
            <w:tcW w:type="dxa" w:w="1015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375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311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369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01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R1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Staff resistance to change</w:t>
            </w:r>
          </w:p>
        </w:tc>
        <w:tc>
          <w:tcPr>
            <w:tcW w:type="dxa" w:w="137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High</w:t>
            </w:r>
          </w:p>
        </w:tc>
        <w:tc>
          <w:tcPr>
            <w:tcW w:type="dxa" w:w="1311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Medium</w:t>
            </w:r>
          </w:p>
        </w:tc>
        <w:tc>
          <w:tcPr>
            <w:tcW w:type="dxa" w:w="3369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Change-management program with progressive training and quick wins</w:t>
            </w:r>
          </w:p>
        </w:tc>
      </w:tr>
      <w:tr>
        <w:tc>
          <w:tcPr>
            <w:tcW w:type="dxa" w:w="101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R2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Vendor lock-in</w:t>
            </w:r>
          </w:p>
        </w:tc>
        <w:tc>
          <w:tcPr>
            <w:tcW w:type="dxa" w:w="137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Medium</w:t>
            </w:r>
          </w:p>
        </w:tc>
        <w:tc>
          <w:tcPr>
            <w:tcW w:type="dxa" w:w="1311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High</w:t>
            </w:r>
          </w:p>
        </w:tc>
        <w:tc>
          <w:tcPr>
            <w:tcW w:type="dxa" w:w="3369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Multi-cloud architecture, containers, open standards</w:t>
            </w:r>
          </w:p>
        </w:tc>
      </w:tr>
      <w:tr>
        <w:tc>
          <w:tcPr>
            <w:tcW w:type="dxa" w:w="101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R3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Sensitive data breach</w:t>
            </w:r>
          </w:p>
        </w:tc>
        <w:tc>
          <w:tcPr>
            <w:tcW w:type="dxa" w:w="137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Low</w:t>
            </w:r>
          </w:p>
        </w:tc>
        <w:tc>
          <w:tcPr>
            <w:tcW w:type="dxa" w:w="1311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1B6B93"/>
              </w:rPr>
              <w:t>Critical</w:t>
            </w:r>
          </w:p>
        </w:tc>
        <w:tc>
          <w:tcPr>
            <w:tcW w:type="dxa" w:w="3369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End-to-end encryption, DLP, quarterly audits, dedicated DPO</w:t>
            </w:r>
          </w:p>
        </w:tc>
      </w:tr>
      <w:tr>
        <w:tc>
          <w:tcPr>
            <w:tcW w:type="dxa" w:w="101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R4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Budget overrun</w:t>
            </w:r>
          </w:p>
        </w:tc>
        <w:tc>
          <w:tcPr>
            <w:tcW w:type="dxa" w:w="137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Medium</w:t>
            </w:r>
          </w:p>
        </w:tc>
        <w:tc>
          <w:tcPr>
            <w:tcW w:type="dxa" w:w="1311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Medium</w:t>
            </w:r>
          </w:p>
        </w:tc>
        <w:tc>
          <w:tcPr>
            <w:tcW w:type="dxa" w:w="3369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15% contingency fund, monthly milestone reviews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4" w:space="0" w:color="FDECEA"/>
              <w:left w:val="single" w:sz="24" w:space="0" w:color="D32F2F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b/>
                <w:color w:val="D32F2F"/>
              </w:rPr>
              <w:t xml:space="preserve">✖ </w:t>
            </w:r>
            <w:r>
              <w:rPr>
                <w:b/>
                <w:color w:val="D32F2F"/>
              </w:rPr>
              <w:t>Compliance</w:t>
            </w:r>
          </w:p>
          <w:p>
            <w:r>
              <w:t xml:space="preserve">Failure to comply with the </w:t>
            </w:r>
            <w:r>
              <w:rPr>
                <w:b/>
                <w:color w:val="1B6B93"/>
              </w:rPr>
              <w:t>EU AI Act</w:t>
            </w:r>
            <w:r>
              <w:t xml:space="preserve"> may lead to fines of up to </w:t>
            </w:r>
            <w:r>
              <w:rPr>
                <w:b/>
              </w:rPr>
              <w:t>3% of global turnover</w:t>
            </w:r>
            <w:r>
              <w:t>. Phase 2 natively integrates transparency and model documentation requirements.</w:t>
            </w:r>
          </w:p>
        </w:tc>
      </w:tr>
    </w:tbl>
    <w:p>
      <w:pPr>
        <w:pBdr>
          <w:left w:val="single" w:sz="28" w:space="10" w:color="1B6B93"/>
        </w:pBdr>
        <w:spacing w:before="200" w:after="120" w:line="307" w:lineRule="auto"/>
        <w:ind w:left="680" w:right="454"/>
      </w:pPr>
      <w:r>
        <w:rPr>
          <w:i/>
          <w:color w:val="1A1A1A"/>
          <w:sz w:val="26"/>
        </w:rPr>
        <w:t>“</w:t>
      </w:r>
      <w:r>
        <w:rPr>
          <w:i/>
          <w:color w:val="1A1A1A"/>
          <w:sz w:val="26"/>
        </w:rPr>
        <w:t>Digitalization is not a technology project — it is a change project that happens to use technology.</w:t>
      </w:r>
      <w:r>
        <w:rPr>
          <w:i/>
          <w:color w:val="1A1A1A"/>
          <w:sz w:val="26"/>
        </w:rPr>
        <w:t>”</w:t>
      </w:r>
    </w:p>
    <w:p>
      <w:pPr>
        <w:pStyle w:val="Heading1"/>
      </w:pPr>
      <w:r>
        <w:rPr>
          <w:b/>
          <w:color w:val="1F2A44"/>
        </w:rPr>
        <w:t xml:space="preserve">4  </w:t>
      </w:r>
      <w:r>
        <w:t>Project Team</w:t>
      </w:r>
    </w:p>
    <w:p>
      <w:pPr>
        <w:spacing w:after="120" w:line="276" w:lineRule="auto"/>
        <w:jc w:val="left"/>
      </w:pPr>
      <w:r>
        <w:t>Project governance is organized across three decision levels.</w:t>
      </w:r>
    </w:p>
    <w:p>
      <w:pPr>
        <w:pStyle w:val="Heading2"/>
      </w:pPr>
      <w:r>
        <w:rPr>
          <w:b/>
          <w:color w:val="1B6B93"/>
        </w:rPr>
        <w:t xml:space="preserve">4.1  </w:t>
      </w:r>
      <w:r>
        <w:t>Sign-off</w:t>
      </w:r>
    </w:p>
    <w:p/>
    <w:p>
      <w:pPr>
        <w:spacing w:after="80"/>
        <w:jc w:val="left"/>
      </w:pPr>
      <w:r>
        <w:rPr>
          <w:color w:val="555555"/>
        </w:rPr>
        <w:t>________________________</w:t>
      </w:r>
    </w:p>
    <w:p>
      <w:pPr>
        <w:jc w:val="left"/>
      </w:pPr>
      <w:r>
        <w:rPr>
          <w:b/>
        </w:rPr>
        <w:t>Jane Doe</w:t>
      </w:r>
    </w:p>
    <w:p>
      <w:pPr>
        <w:jc w:val="left"/>
      </w:pPr>
      <w:r>
        <w:rPr>
          <w:color w:val="555555"/>
          <w:sz w:val="20"/>
        </w:rPr>
        <w:t>Project Sponsor</w:t>
      </w:r>
    </w:p>
    <w:p>
      <w:pPr>
        <w:jc w:val="left"/>
      </w:pPr>
      <w:r>
        <w:rPr>
          <w:color w:val="555555"/>
          <w:sz w:val="20"/>
        </w:rPr>
        <w:t>March 12, 2026</w:t>
      </w:r>
    </w:p>
    <w:p/>
    <w:p>
      <w:pPr>
        <w:spacing w:after="80"/>
        <w:jc w:val="left"/>
      </w:pPr>
      <w:r>
        <w:rPr>
          <w:color w:val="555555"/>
        </w:rPr>
        <w:t>________________________</w:t>
      </w:r>
    </w:p>
    <w:p>
      <w:pPr>
        <w:jc w:val="left"/>
      </w:pPr>
      <w:r>
        <w:rPr>
          <w:b/>
        </w:rPr>
        <w:t>John Smith</w:t>
      </w:r>
    </w:p>
    <w:p>
      <w:pPr>
        <w:jc w:val="left"/>
      </w:pPr>
      <w:r>
        <w:rPr>
          <w:color w:val="555555"/>
          <w:sz w:val="20"/>
        </w:rPr>
        <w:t>CTO / Technical Lead</w:t>
      </w:r>
    </w:p>
    <w:p>
      <w:pPr>
        <w:jc w:val="left"/>
      </w:pPr>
      <w:r>
        <w:rPr>
          <w:color w:val="555555"/>
          <w:sz w:val="20"/>
        </w:rPr>
        <w:t>March 12, 2026</w:t>
      </w:r>
    </w:p>
    <w:p>
      <w:pPr>
        <w:pStyle w:val="Heading2"/>
      </w:pPr>
      <w:r>
        <w:rPr>
          <w:b/>
          <w:color w:val="1B6B93"/>
        </w:rPr>
        <w:t xml:space="preserve">4.2  </w:t>
      </w:r>
      <w:r>
        <w:t>Allocated Resources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2435"/>
        <w:gridCol w:w="1540"/>
        <w:gridCol w:w="1540"/>
        <w:gridCol w:w="3669"/>
      </w:tblGrid>
      <w:tr>
        <w:trPr>
          <w:tblHeader/>
        </w:trPr>
        <w:tc>
          <w:tcPr>
            <w:tcW w:type="dxa" w:w="2435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b/>
                <w:color w:val="FFFFFF"/>
                <w:sz w:val="20"/>
              </w:rPr>
              <w:t>FTE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669"/>
            <w:tcBorders>
              <w:top w:val="nil"/>
              <w:left w:val="nil"/>
              <w:bottom w:val="single" w:sz="12" w:space="0" w:color="1B6B93"/>
              <w:right w:val="nil"/>
            </w:tcBorders>
            <w:shd w:val="clear" w:color="auto" w:fill="1B6B93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b/>
                <w:color w:val="FFFFFF"/>
                <w:sz w:val="20"/>
              </w:rPr>
              <w:t>Key skill</w:t>
            </w:r>
          </w:p>
        </w:tc>
      </w:tr>
      <w:tr>
        <w:tc>
          <w:tcPr>
            <w:tcW w:type="dxa" w:w="243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Project Manager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1.0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1–3</w:t>
            </w:r>
          </w:p>
        </w:tc>
        <w:tc>
          <w:tcPr>
            <w:tcW w:type="dxa" w:w="3669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PMP, Agile, stakeholder management</w:t>
            </w:r>
          </w:p>
        </w:tc>
      </w:tr>
      <w:tr>
        <w:tc>
          <w:tcPr>
            <w:tcW w:type="dxa" w:w="243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Architect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0.5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1–2</w:t>
            </w:r>
          </w:p>
        </w:tc>
        <w:tc>
          <w:tcPr>
            <w:tcW w:type="dxa" w:w="3669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Cloud-native, Kubernetes, security</w:t>
            </w:r>
          </w:p>
        </w:tc>
      </w:tr>
      <w:tr>
        <w:tc>
          <w:tcPr>
            <w:tcW w:type="dxa" w:w="2435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Data Engineer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1.0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1–2</w:t>
            </w:r>
          </w:p>
        </w:tc>
        <w:tc>
          <w:tcPr>
            <w:tcW w:type="dxa" w:w="3669"/>
            <w:tcBorders>
              <w:top w:val="nil"/>
              <w:left w:val="nil"/>
              <w:bottom w:val="single" w:sz="4" w:space="0" w:color="DCE0E6"/>
              <w:right w:val="nil"/>
            </w:tcBorders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ETL, data modeling, Spark/Airflow</w:t>
            </w:r>
          </w:p>
        </w:tc>
      </w:tr>
      <w:tr>
        <w:tc>
          <w:tcPr>
            <w:tcW w:type="dxa" w:w="2435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ML Engineer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t>1.0</w:t>
            </w:r>
          </w:p>
        </w:tc>
        <w:tc>
          <w:tcPr>
            <w:tcW w:type="dxa" w:w="1540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2–3</w:t>
            </w:r>
          </w:p>
        </w:tc>
        <w:tc>
          <w:tcPr>
            <w:tcW w:type="dxa" w:w="3669"/>
            <w:tcBorders>
              <w:top w:val="nil"/>
              <w:left w:val="nil"/>
              <w:bottom w:val="single" w:sz="4" w:space="0" w:color="DCE0E6"/>
              <w:right w:val="nil"/>
            </w:tcBorders>
            <w:shd w:val="clear" w:color="auto" w:fill="F5F7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t>NLP, LLM fine-tuning, MLOps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pStyle w:val="Heading1"/>
      </w:pPr>
      <w:r>
        <w:rPr>
          <w:b/>
          <w:color w:val="1F2A44"/>
        </w:rPr>
        <w:t xml:space="preserve">5  </w:t>
      </w:r>
      <w:r>
        <w:t>Conclusions</w:t>
      </w:r>
    </w:p>
    <w:tbl>
      <w:tblPr>
        <w:tblW w:type="dxa" w:w="9184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tcBorders>
              <w:top w:val="single" w:sz="4" w:space="0" w:color="E8F5E9"/>
              <w:left w:val="single" w:sz="24" w:space="0" w:color="4CAF50"/>
              <w:bottom w:val="single" w:sz="4" w:space="0" w:color="E8F5E9"/>
              <w:right w:val="single" w:sz="4" w:space="0" w:color="E8F5E9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b/>
                <w:color w:val="4CAF50"/>
              </w:rPr>
              <w:t xml:space="preserve">✔ </w:t>
            </w:r>
            <w:r>
              <w:rPr>
                <w:b/>
                <w:color w:val="4CAF50"/>
              </w:rPr>
              <w:t>Next step</w:t>
            </w:r>
          </w:p>
          <w:p>
            <w:r>
              <w:t xml:space="preserve">Board approval of the </w:t>
            </w:r>
            <w:r>
              <w:rPr>
                <w:b/>
                <w:color w:val="1B6B93"/>
              </w:rPr>
              <w:t>€850,000</w:t>
            </w:r>
            <w:r>
              <w:t xml:space="preserve"> budget is requested by </w:t>
            </w:r>
            <w:r>
              <w:rPr>
                <w:b/>
              </w:rPr>
              <w:t>July 30, 2026</w:t>
            </w:r>
            <w:r>
              <w:t xml:space="preserve"> to start work within Q3 2026, per plan.</w:t>
            </w:r>
          </w:p>
        </w:tc>
      </w:tr>
    </w:tbl>
    <w:p>
      <w:pPr>
        <w:spacing w:after="120" w:line="276" w:lineRule="auto"/>
        <w:jc w:val="left"/>
      </w:pPr>
      <w:r>
        <w:rPr>
          <w:i/>
        </w:rPr>
        <w:t>Document generated by the Generate Documents tool for Open WebUI.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361" w:left="136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92" w:val="center"/>
        <w:tab w:pos="9184" w:val="right"/>
      </w:tabs>
      <w:jc w:val="left"/>
    </w:pPr>
    <w:r/>
    <w:r>
      <w:tab/>
    </w:r>
    <w:r>
      <w:rPr>
        <w:color w:val="7A7F8A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7A7F8A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8C7D6"/>
      </w:pBdr>
      <w:tabs>
        <w:tab w:pos="4592" w:val="center"/>
        <w:tab w:pos="9184" w:val="right"/>
      </w:tabs>
      <w:jc w:val="left"/>
    </w:pPr>
    <w:r/>
    <w:r>
      <w:rPr>
        <w:color w:val="7A7F8A"/>
        <w:sz w:val="18"/>
      </w:rPr>
      <w:t>Northwind Analytics — Confidential</w:t>
    </w:r>
    <w:r>
      <w:tab/>
    </w:r>
    <w:r>
      <w:tab/>
    </w:r>
    <w:r>
      <w:rPr>
        <w:color w:val="7A7F8A"/>
        <w:sz w:val="18"/>
      </w:rPr>
      <w:t>Rev.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lvl w:ilvl="0">
      <w:start w:val="1"/>
      <w:numFmt w:val="bullet"/>
      <w:lvlText w:val="•"/>
      <w:lvlJc w:val="left"/>
      <w:pPr>
        <w:ind w:left="460" w:hanging="30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20" w:hanging="30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1180" w:hanging="300"/>
      </w:pPr>
      <w:rPr>
        <w:rFonts w:ascii="Arial" w:hAnsi="Arial"/>
      </w:rPr>
    </w:lvl>
    <w:lvl w:ilvl="3">
      <w:start w:val="1"/>
      <w:numFmt w:val="bullet"/>
      <w:lvlText w:val="▫"/>
      <w:lvlJc w:val="left"/>
      <w:pPr>
        <w:ind w:left="1540" w:hanging="300"/>
      </w:pPr>
      <w:rPr>
        <w:rFonts w:ascii="Arial" w:hAnsi="Arial"/>
      </w:rPr>
    </w:lvl>
  </w:abstractNum>
  <w:abstractNum w:abstractNumId="10"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decimal"/>
      <w:lvlText w:val="%2."/>
      <w:lvlJc w:val="left"/>
      <w:pPr>
        <w:ind w:left="820" w:hanging="300"/>
      </w:pPr>
    </w:lvl>
    <w:lvl w:ilvl="2">
      <w:start w:val="1"/>
      <w:numFmt w:val="decimal"/>
      <w:lvlText w:val="%3."/>
      <w:lvlJc w:val="left"/>
      <w:pPr>
        <w:ind w:left="1180" w:hanging="300"/>
      </w:pPr>
    </w:lvl>
    <w:lvl w:ilvl="3">
      <w:start w:val="1"/>
      <w:numFmt w:val="decimal"/>
      <w:lvlText w:val="%4."/>
      <w:lvlJc w:val="left"/>
      <w:pPr>
        <w:ind w:left="1540" w:hanging="300"/>
      </w:pPr>
    </w:lvl>
  </w:abstractNum>
  <w:abstractNum w:abstractNumId="11">
    <w:lvl w:ilvl="0">
      <w:start w:val="1"/>
      <w:numFmt w:val="decimal"/>
      <w:lvlText w:val="%1"/>
      <w:lvlJc w:val="left"/>
      <w:pPr>
        <w:ind w:left="460" w:hanging="360"/>
      </w:pPr>
    </w:lvl>
    <w:lvl w:ilvl="1">
      <w:start w:val="1"/>
      <w:numFmt w:val="decimal"/>
      <w:lvlText w:val="%1.%2"/>
      <w:lvlJc w:val="left"/>
      <w:pPr>
        <w:ind w:left="820" w:hanging="360"/>
      </w:pPr>
    </w:lvl>
    <w:lvl w:ilvl="2">
      <w:start w:val="1"/>
      <w:numFmt w:val="decimal"/>
      <w:lvlText w:val="%1.%2.%3"/>
      <w:lvlJc w:val="left"/>
      <w:pPr>
        <w:ind w:left="1180" w:hanging="360"/>
      </w:pPr>
    </w:lvl>
    <w:lvl w:ilvl="3">
      <w:start w:val="1"/>
      <w:numFmt w:val="decimal"/>
      <w:lvlText w:val="%1.%2.%3.%4"/>
      <w:lvlJc w:val="left"/>
      <w:pPr>
        <w:ind w:left="154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widowControl w:val="true"/>
    </w:pPr>
    <w:rPr>
      <w:rFonts w:ascii="Calibri" w:hAnsi="Calibri" w:cs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 w:val="true"/>
      <w:pBdr>
        <w:bottom w:val="single" w:sz="6" w:space="6" w:color="6B9FB9"/>
      </w:pBdr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 w:val="true"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6B9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 w:val="true"/>
      <w:spacing w:before="14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6B9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 w:val="true"/>
      <w:spacing w:before="1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6B9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200"/>
    </w:pPr>
    <w:rPr>
      <w:rFonts w:ascii="Calibri" w:hAnsi="Calibri"/>
      <w:b w:val="0"/>
      <w:bCs/>
      <w:i/>
      <w:color w:val="4A4E5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