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0454" w14:textId="3FA30378" w:rsidR="0096074B" w:rsidRDefault="0096074B" w:rsidP="0096074B">
      <w:pPr>
        <w:jc w:val="center"/>
      </w:pPr>
    </w:p>
    <w:p w14:paraId="6BC8F858" w14:textId="17EC3B70" w:rsidR="0096074B" w:rsidRDefault="0096074B" w:rsidP="0096074B">
      <w:pPr>
        <w:jc w:val="center"/>
      </w:pPr>
    </w:p>
    <w:p w14:paraId="5CB0E7B7" w14:textId="77777777" w:rsidR="0096074B" w:rsidRDefault="0096074B" w:rsidP="0096074B">
      <w:pPr>
        <w:jc w:val="center"/>
      </w:pPr>
    </w:p>
    <w:p w14:paraId="0D89D2AD" w14:textId="77777777" w:rsidR="0096074B" w:rsidRDefault="0096074B" w:rsidP="0096074B">
      <w:pPr>
        <w:jc w:val="center"/>
      </w:pPr>
    </w:p>
    <w:p w14:paraId="7B63E73F" w14:textId="77777777" w:rsidR="0096074B" w:rsidRDefault="0096074B" w:rsidP="0096074B">
      <w:pPr>
        <w:jc w:val="center"/>
      </w:pPr>
    </w:p>
    <w:p w14:paraId="42AB6920" w14:textId="77777777" w:rsidR="0096074B" w:rsidRDefault="0096074B" w:rsidP="0096074B">
      <w:pPr>
        <w:jc w:val="center"/>
      </w:pPr>
    </w:p>
    <w:p w14:paraId="44ECD999" w14:textId="77777777" w:rsidR="0096074B" w:rsidRDefault="0096074B" w:rsidP="0096074B">
      <w:pPr>
        <w:jc w:val="center"/>
      </w:pPr>
    </w:p>
    <w:p w14:paraId="4D64AEC7" w14:textId="77777777" w:rsidR="0096074B" w:rsidRDefault="0096074B" w:rsidP="0096074B">
      <w:pPr>
        <w:jc w:val="center"/>
      </w:pPr>
    </w:p>
    <w:p w14:paraId="2A91ED39" w14:textId="77777777" w:rsidR="0096074B" w:rsidRDefault="0096074B" w:rsidP="0096074B">
      <w:pPr>
        <w:jc w:val="center"/>
      </w:pPr>
    </w:p>
    <w:p w14:paraId="3B4670E2" w14:textId="77777777" w:rsidR="0096074B" w:rsidRDefault="0096074B" w:rsidP="0096074B">
      <w:pPr>
        <w:jc w:val="center"/>
      </w:pPr>
    </w:p>
    <w:p w14:paraId="18656B64" w14:textId="77777777" w:rsidR="0096074B" w:rsidRDefault="0096074B" w:rsidP="0096074B">
      <w:pPr>
        <w:jc w:val="center"/>
      </w:pPr>
    </w:p>
    <w:p w14:paraId="05D59447" w14:textId="77777777" w:rsidR="0096074B" w:rsidRDefault="0096074B" w:rsidP="0096074B">
      <w:pPr>
        <w:jc w:val="center"/>
      </w:pPr>
    </w:p>
    <w:p w14:paraId="6DA61D11" w14:textId="77777777" w:rsidR="0096074B" w:rsidRDefault="0096074B" w:rsidP="0096074B">
      <w:pPr>
        <w:jc w:val="center"/>
      </w:pPr>
    </w:p>
    <w:p w14:paraId="18B5F4A3" w14:textId="77777777" w:rsidR="0096074B" w:rsidRDefault="0096074B" w:rsidP="0096074B">
      <w:pPr>
        <w:jc w:val="center"/>
      </w:pPr>
    </w:p>
    <w:p w14:paraId="1776D494" w14:textId="77777777" w:rsidR="0096074B" w:rsidRDefault="0096074B" w:rsidP="0096074B">
      <w:pPr>
        <w:jc w:val="center"/>
      </w:pPr>
    </w:p>
    <w:p w14:paraId="44C5F08E" w14:textId="77777777" w:rsidR="0096074B" w:rsidRDefault="0096074B" w:rsidP="0096074B">
      <w:pPr>
        <w:jc w:val="center"/>
      </w:pPr>
    </w:p>
    <w:p w14:paraId="78AA59AA" w14:textId="77777777" w:rsidR="0096074B" w:rsidRDefault="0096074B" w:rsidP="0096074B">
      <w:pPr>
        <w:jc w:val="center"/>
      </w:pPr>
    </w:p>
    <w:p w14:paraId="3A3EC60B" w14:textId="77777777" w:rsidR="0096074B" w:rsidRDefault="0096074B" w:rsidP="0096074B">
      <w:pPr>
        <w:spacing w:line="480" w:lineRule="auto"/>
        <w:jc w:val="center"/>
      </w:pPr>
    </w:p>
    <w:p w14:paraId="1540746F" w14:textId="2A0724C8" w:rsidR="0096074B" w:rsidRPr="00EF2417" w:rsidRDefault="0096074B" w:rsidP="0096074B">
      <w:pPr>
        <w:spacing w:line="480" w:lineRule="auto"/>
        <w:jc w:val="center"/>
      </w:pPr>
      <w:r>
        <w:t>OBHR 413</w:t>
      </w:r>
      <w:r w:rsidRPr="00EF2417">
        <w:t xml:space="preserve">: </w:t>
      </w:r>
      <w:r>
        <w:t>Pay Structure</w:t>
      </w:r>
    </w:p>
    <w:p w14:paraId="64BF7108" w14:textId="1CFC9855" w:rsidR="0096074B" w:rsidRPr="00EF2417" w:rsidRDefault="0096074B" w:rsidP="0096074B">
      <w:pPr>
        <w:spacing w:line="480" w:lineRule="auto"/>
        <w:jc w:val="center"/>
      </w:pPr>
      <w:r w:rsidRPr="00EF2417">
        <w:t xml:space="preserve">University of Calgary: </w:t>
      </w:r>
      <w:r>
        <w:t>Audrey Farrier</w:t>
      </w:r>
    </w:p>
    <w:p w14:paraId="1F602E47" w14:textId="77777777" w:rsidR="0096074B" w:rsidRDefault="0096074B" w:rsidP="0096074B">
      <w:pPr>
        <w:spacing w:line="480" w:lineRule="auto"/>
        <w:jc w:val="center"/>
      </w:pPr>
      <w:r>
        <w:t>Ian Veilleux</w:t>
      </w:r>
    </w:p>
    <w:p w14:paraId="47DC22A0" w14:textId="77777777" w:rsidR="0096074B" w:rsidRPr="00EF2417" w:rsidRDefault="0096074B" w:rsidP="0096074B">
      <w:pPr>
        <w:spacing w:line="480" w:lineRule="auto"/>
        <w:jc w:val="center"/>
      </w:pPr>
      <w:r>
        <w:t>30062795</w:t>
      </w:r>
    </w:p>
    <w:p w14:paraId="63291CE1" w14:textId="70CF9610" w:rsidR="0096074B" w:rsidRPr="00EF2417" w:rsidRDefault="0096074B" w:rsidP="0096074B">
      <w:pPr>
        <w:spacing w:line="480" w:lineRule="auto"/>
        <w:jc w:val="center"/>
      </w:pPr>
      <w:r>
        <w:t>March 4</w:t>
      </w:r>
      <w:r w:rsidRPr="0096074B">
        <w:rPr>
          <w:vertAlign w:val="superscript"/>
        </w:rPr>
        <w:t>th</w:t>
      </w:r>
      <w:r>
        <w:t xml:space="preserve">, </w:t>
      </w:r>
      <w:r w:rsidRPr="00EF2417">
        <w:t>202</w:t>
      </w:r>
      <w:r>
        <w:t>2</w:t>
      </w:r>
    </w:p>
    <w:p w14:paraId="3B45CBE4" w14:textId="77777777" w:rsidR="0096074B" w:rsidRDefault="0096074B" w:rsidP="0096074B">
      <w:pPr>
        <w:jc w:val="center"/>
      </w:pPr>
    </w:p>
    <w:p w14:paraId="7FABAFBC" w14:textId="77777777" w:rsidR="0096074B" w:rsidRDefault="0096074B" w:rsidP="0096074B">
      <w:pPr>
        <w:jc w:val="center"/>
      </w:pPr>
    </w:p>
    <w:p w14:paraId="7881AB31" w14:textId="77777777" w:rsidR="0096074B" w:rsidRDefault="0096074B" w:rsidP="0096074B">
      <w:pPr>
        <w:jc w:val="center"/>
      </w:pPr>
    </w:p>
    <w:p w14:paraId="21916639" w14:textId="77777777" w:rsidR="0096074B" w:rsidRDefault="0096074B" w:rsidP="0096074B">
      <w:pPr>
        <w:jc w:val="center"/>
      </w:pPr>
    </w:p>
    <w:p w14:paraId="620B5014" w14:textId="77777777" w:rsidR="0096074B" w:rsidRDefault="0096074B" w:rsidP="0096074B">
      <w:pPr>
        <w:jc w:val="center"/>
      </w:pPr>
    </w:p>
    <w:p w14:paraId="670BF205" w14:textId="77777777" w:rsidR="0096074B" w:rsidRDefault="0096074B" w:rsidP="0096074B">
      <w:pPr>
        <w:jc w:val="center"/>
      </w:pPr>
    </w:p>
    <w:p w14:paraId="50509317" w14:textId="77777777" w:rsidR="0096074B" w:rsidRDefault="0096074B" w:rsidP="0096074B">
      <w:pPr>
        <w:spacing w:line="480" w:lineRule="auto"/>
        <w:jc w:val="center"/>
        <w:rPr>
          <w:b/>
          <w:bCs/>
        </w:rPr>
      </w:pPr>
    </w:p>
    <w:p w14:paraId="3E27BB10" w14:textId="77777777" w:rsidR="0096074B" w:rsidRDefault="0096074B" w:rsidP="0096074B">
      <w:pPr>
        <w:spacing w:line="480" w:lineRule="auto"/>
        <w:jc w:val="center"/>
        <w:rPr>
          <w:b/>
          <w:bCs/>
        </w:rPr>
      </w:pPr>
    </w:p>
    <w:p w14:paraId="15402942" w14:textId="77777777" w:rsidR="0096074B" w:rsidRDefault="0096074B" w:rsidP="0096074B">
      <w:pPr>
        <w:spacing w:line="480" w:lineRule="auto"/>
        <w:jc w:val="center"/>
        <w:rPr>
          <w:b/>
          <w:bCs/>
        </w:rPr>
      </w:pPr>
    </w:p>
    <w:p w14:paraId="597B97A6" w14:textId="77777777" w:rsidR="0096074B" w:rsidRDefault="0096074B" w:rsidP="0096074B">
      <w:pPr>
        <w:spacing w:line="480" w:lineRule="auto"/>
        <w:jc w:val="center"/>
        <w:rPr>
          <w:b/>
          <w:bCs/>
        </w:rPr>
      </w:pPr>
    </w:p>
    <w:p w14:paraId="7575B0DD" w14:textId="77777777" w:rsidR="0096074B" w:rsidRDefault="0096074B" w:rsidP="0096074B">
      <w:pPr>
        <w:spacing w:line="480" w:lineRule="auto"/>
        <w:jc w:val="center"/>
        <w:rPr>
          <w:b/>
          <w:bCs/>
        </w:rPr>
      </w:pPr>
    </w:p>
    <w:p w14:paraId="78130C12" w14:textId="77777777" w:rsidR="0096074B" w:rsidRDefault="0096074B" w:rsidP="005B5142">
      <w:pPr>
        <w:spacing w:line="480" w:lineRule="auto"/>
        <w:rPr>
          <w:b/>
          <w:bCs/>
          <w:sz w:val="20"/>
          <w:szCs w:val="20"/>
        </w:rPr>
      </w:pPr>
    </w:p>
    <w:p w14:paraId="64B4DD9D" w14:textId="5C1DA36A" w:rsidR="00DC6FA0" w:rsidRPr="006849E0" w:rsidRDefault="005B5142" w:rsidP="005B5142">
      <w:pPr>
        <w:spacing w:line="480" w:lineRule="auto"/>
        <w:rPr>
          <w:b/>
          <w:bCs/>
          <w:sz w:val="20"/>
          <w:szCs w:val="20"/>
        </w:rPr>
      </w:pPr>
      <w:r w:rsidRPr="006849E0">
        <w:rPr>
          <w:b/>
          <w:bCs/>
          <w:sz w:val="20"/>
          <w:szCs w:val="20"/>
        </w:rPr>
        <w:lastRenderedPageBreak/>
        <w:t xml:space="preserve">1.) </w:t>
      </w:r>
      <w:r w:rsidR="007A6747" w:rsidRPr="006849E0">
        <w:rPr>
          <w:b/>
          <w:bCs/>
          <w:sz w:val="20"/>
          <w:szCs w:val="20"/>
        </w:rPr>
        <w:t>Pay Policy Line:</w:t>
      </w:r>
    </w:p>
    <w:p w14:paraId="5796EA12" w14:textId="75B88D31" w:rsidR="007A6747" w:rsidRPr="006849E0" w:rsidRDefault="007A6747" w:rsidP="007A6747">
      <w:pPr>
        <w:spacing w:line="480" w:lineRule="auto"/>
        <w:rPr>
          <w:sz w:val="20"/>
          <w:szCs w:val="20"/>
        </w:rPr>
      </w:pPr>
      <w:r w:rsidRPr="006849E0">
        <w:rPr>
          <w:sz w:val="20"/>
          <w:szCs w:val="20"/>
        </w:rPr>
        <w:tab/>
        <w:t xml:space="preserve">To determine the equation for the pay policy line, we must consider the strategy that </w:t>
      </w:r>
      <w:r w:rsidR="005D5786" w:rsidRPr="006849E0">
        <w:rPr>
          <w:sz w:val="20"/>
          <w:szCs w:val="20"/>
        </w:rPr>
        <w:t xml:space="preserve">the </w:t>
      </w:r>
      <w:r w:rsidRPr="006849E0">
        <w:rPr>
          <w:sz w:val="20"/>
          <w:szCs w:val="20"/>
        </w:rPr>
        <w:t>organization is targeting. Since they would like to exceed mean market pay by 5%, the organization is using a ‘lead’ strategy, in which the mean pay across all pay bands within the organization should exceed the market price by 5%</w:t>
      </w:r>
      <w:r w:rsidR="002D032A" w:rsidRPr="006849E0">
        <w:rPr>
          <w:sz w:val="20"/>
          <w:szCs w:val="20"/>
        </w:rPr>
        <w:t xml:space="preserve"> </w:t>
      </w:r>
      <w:r w:rsidR="00A12346" w:rsidRPr="006849E0">
        <w:rPr>
          <w:sz w:val="20"/>
          <w:szCs w:val="20"/>
        </w:rPr>
        <w:t>(Yap et al., 2021, p. 160)</w:t>
      </w:r>
      <w:r w:rsidRPr="006849E0">
        <w:rPr>
          <w:sz w:val="20"/>
          <w:szCs w:val="20"/>
        </w:rPr>
        <w:t>. As an equation, this looks like:</w:t>
      </w:r>
    </w:p>
    <w:p w14:paraId="154564E0" w14:textId="714F2F5E" w:rsidR="007A6747" w:rsidRPr="006849E0" w:rsidRDefault="007A6747" w:rsidP="007A6747">
      <w:pPr>
        <w:spacing w:line="480" w:lineRule="auto"/>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12000+62x</m:t>
              </m:r>
            </m:e>
          </m:d>
          <m:r>
            <w:rPr>
              <w:rFonts w:ascii="Cambria Math" w:hAnsi="Cambria Math"/>
              <w:sz w:val="20"/>
              <w:szCs w:val="20"/>
            </w:rPr>
            <m:t>*(1.05)</m:t>
          </m:r>
        </m:oMath>
      </m:oMathPara>
    </w:p>
    <w:p w14:paraId="34348EE6" w14:textId="6FBC8CDE" w:rsidR="003930B2" w:rsidRPr="006849E0" w:rsidRDefault="003930B2" w:rsidP="00071E49">
      <w:pPr>
        <w:spacing w:line="480" w:lineRule="auto"/>
        <w:ind w:firstLine="720"/>
        <w:rPr>
          <w:sz w:val="20"/>
          <w:szCs w:val="20"/>
        </w:rPr>
      </w:pPr>
      <w:r w:rsidRPr="006849E0">
        <w:rPr>
          <w:sz w:val="20"/>
          <w:szCs w:val="20"/>
        </w:rPr>
        <w:t xml:space="preserve">Where </w:t>
      </w:r>
      <m:oMath>
        <m:r>
          <w:rPr>
            <w:rFonts w:ascii="Cambria Math" w:hAnsi="Cambria Math"/>
            <w:sz w:val="20"/>
            <w:szCs w:val="20"/>
          </w:rPr>
          <m:t>Y</m:t>
        </m:r>
      </m:oMath>
      <w:r w:rsidRPr="006849E0">
        <w:rPr>
          <w:sz w:val="20"/>
          <w:szCs w:val="20"/>
        </w:rPr>
        <w:t xml:space="preserve"> is the pay in dollars, and </w:t>
      </w:r>
      <m:oMath>
        <m:r>
          <w:rPr>
            <w:rFonts w:ascii="Cambria Math" w:hAnsi="Cambria Math"/>
            <w:sz w:val="20"/>
            <w:szCs w:val="20"/>
          </w:rPr>
          <m:t>x</m:t>
        </m:r>
      </m:oMath>
      <w:r w:rsidRPr="006849E0">
        <w:rPr>
          <w:sz w:val="20"/>
          <w:szCs w:val="20"/>
        </w:rPr>
        <w:t xml:space="preserve"> is the</w:t>
      </w:r>
      <w:r w:rsidR="00FB69ED" w:rsidRPr="006849E0">
        <w:rPr>
          <w:sz w:val="20"/>
          <w:szCs w:val="20"/>
        </w:rPr>
        <w:t xml:space="preserve"> median</w:t>
      </w:r>
      <w:r w:rsidRPr="006849E0">
        <w:rPr>
          <w:sz w:val="20"/>
          <w:szCs w:val="20"/>
        </w:rPr>
        <w:t xml:space="preserve"> job evaluation points</w:t>
      </w:r>
      <w:r w:rsidR="00FB69ED" w:rsidRPr="006849E0">
        <w:rPr>
          <w:sz w:val="20"/>
          <w:szCs w:val="20"/>
        </w:rPr>
        <w:t xml:space="preserve"> for each pay grade</w:t>
      </w:r>
      <w:r w:rsidRPr="006849E0">
        <w:rPr>
          <w:sz w:val="20"/>
          <w:szCs w:val="20"/>
        </w:rPr>
        <w:t xml:space="preserve">. The </w:t>
      </w:r>
      <w:r w:rsidRPr="006849E0">
        <w:rPr>
          <w:i/>
          <w:iCs/>
          <w:sz w:val="20"/>
          <w:szCs w:val="20"/>
        </w:rPr>
        <w:t>‘1.05’</w:t>
      </w:r>
      <w:r w:rsidRPr="006849E0">
        <w:rPr>
          <w:sz w:val="20"/>
          <w:szCs w:val="20"/>
        </w:rPr>
        <w:t xml:space="preserve"> is the increase to represent the organization’s 5% lead strategy.</w:t>
      </w:r>
      <w:r w:rsidR="006609B5" w:rsidRPr="006849E0">
        <w:rPr>
          <w:sz w:val="20"/>
          <w:szCs w:val="20"/>
        </w:rPr>
        <w:t xml:space="preserve"> The </w:t>
      </w:r>
      <w:r w:rsidR="006609B5" w:rsidRPr="006849E0">
        <w:rPr>
          <w:i/>
          <w:iCs/>
          <w:sz w:val="20"/>
          <w:szCs w:val="20"/>
        </w:rPr>
        <w:t>‘12000’</w:t>
      </w:r>
      <w:r w:rsidR="006609B5" w:rsidRPr="006849E0">
        <w:rPr>
          <w:sz w:val="20"/>
          <w:szCs w:val="20"/>
        </w:rPr>
        <w:t xml:space="preserve"> is the point where the market dollar value crosses the </w:t>
      </w:r>
      <w:r w:rsidR="006609B5" w:rsidRPr="006849E0">
        <w:rPr>
          <w:i/>
          <w:iCs/>
          <w:sz w:val="20"/>
          <w:szCs w:val="20"/>
        </w:rPr>
        <w:t>y</w:t>
      </w:r>
      <w:r w:rsidR="006609B5" w:rsidRPr="006849E0">
        <w:rPr>
          <w:sz w:val="20"/>
          <w:szCs w:val="20"/>
        </w:rPr>
        <w:t xml:space="preserve"> axis at </w:t>
      </w:r>
      <w:r w:rsidR="006609B5" w:rsidRPr="006849E0">
        <w:rPr>
          <w:i/>
          <w:iCs/>
          <w:sz w:val="20"/>
          <w:szCs w:val="20"/>
        </w:rPr>
        <w:t>x=0</w:t>
      </w:r>
      <w:r w:rsidR="006609B5" w:rsidRPr="006849E0">
        <w:rPr>
          <w:sz w:val="20"/>
          <w:szCs w:val="20"/>
        </w:rPr>
        <w:t xml:space="preserve">, and the </w:t>
      </w:r>
      <w:r w:rsidR="006609B5" w:rsidRPr="006849E0">
        <w:rPr>
          <w:i/>
          <w:iCs/>
          <w:sz w:val="20"/>
          <w:szCs w:val="20"/>
        </w:rPr>
        <w:t>‘62’</w:t>
      </w:r>
      <w:r w:rsidR="006609B5" w:rsidRPr="006849E0">
        <w:rPr>
          <w:sz w:val="20"/>
          <w:szCs w:val="20"/>
        </w:rPr>
        <w:t xml:space="preserve"> reflects the slope of the line. </w:t>
      </w:r>
      <w:r w:rsidR="008D1810" w:rsidRPr="006849E0">
        <w:rPr>
          <w:sz w:val="20"/>
          <w:szCs w:val="20"/>
        </w:rPr>
        <w:t>If the line is steep, this means the</w:t>
      </w:r>
      <w:r w:rsidR="00073C4D" w:rsidRPr="006849E0">
        <w:rPr>
          <w:sz w:val="20"/>
          <w:szCs w:val="20"/>
        </w:rPr>
        <w:t xml:space="preserve"> job evaluation points are associated with higher employee pay </w:t>
      </w:r>
      <w:r w:rsidR="00A12346" w:rsidRPr="006849E0">
        <w:rPr>
          <w:sz w:val="20"/>
          <w:szCs w:val="20"/>
        </w:rPr>
        <w:t>(Yap et al., 2021, p. 160)</w:t>
      </w:r>
      <w:r w:rsidR="00073C4D" w:rsidRPr="006849E0">
        <w:rPr>
          <w:sz w:val="20"/>
          <w:szCs w:val="20"/>
        </w:rPr>
        <w:t>. Effectively, this equation models the relationship between market rates, and internal compensation structure. The mean market rate is determined through market survey data</w:t>
      </w:r>
      <w:r w:rsidR="00D9552B" w:rsidRPr="006849E0">
        <w:rPr>
          <w:sz w:val="20"/>
          <w:szCs w:val="20"/>
        </w:rPr>
        <w:t>, and the points</w:t>
      </w:r>
      <w:r w:rsidR="0036208F" w:rsidRPr="006849E0">
        <w:rPr>
          <w:sz w:val="20"/>
          <w:szCs w:val="20"/>
        </w:rPr>
        <w:t xml:space="preserve"> for each </w:t>
      </w:r>
      <w:r w:rsidR="00A1104E" w:rsidRPr="006849E0">
        <w:rPr>
          <w:sz w:val="20"/>
          <w:szCs w:val="20"/>
        </w:rPr>
        <w:t>grade</w:t>
      </w:r>
      <w:r w:rsidR="00D9552B" w:rsidRPr="006849E0">
        <w:rPr>
          <w:sz w:val="20"/>
          <w:szCs w:val="20"/>
        </w:rPr>
        <w:t xml:space="preserve"> are internally </w:t>
      </w:r>
      <w:r w:rsidR="00891D40" w:rsidRPr="006849E0">
        <w:rPr>
          <w:sz w:val="20"/>
          <w:szCs w:val="20"/>
        </w:rPr>
        <w:t>established</w:t>
      </w:r>
      <w:r w:rsidR="00073C4D" w:rsidRPr="006849E0">
        <w:rPr>
          <w:sz w:val="20"/>
          <w:szCs w:val="20"/>
        </w:rPr>
        <w:t>.</w:t>
      </w:r>
      <w:r w:rsidR="008D1810" w:rsidRPr="006849E0">
        <w:rPr>
          <w:sz w:val="20"/>
          <w:szCs w:val="20"/>
        </w:rPr>
        <w:t xml:space="preserve"> </w:t>
      </w:r>
      <w:r w:rsidR="005944E3" w:rsidRPr="006849E0">
        <w:rPr>
          <w:sz w:val="20"/>
          <w:szCs w:val="20"/>
        </w:rPr>
        <w:t>T</w:t>
      </w:r>
      <w:r w:rsidR="00071E49" w:rsidRPr="006849E0">
        <w:rPr>
          <w:sz w:val="20"/>
          <w:szCs w:val="20"/>
        </w:rPr>
        <w:t>o determine the range minimum and maximum values</w:t>
      </w:r>
      <w:r w:rsidR="005944E3" w:rsidRPr="006849E0">
        <w:rPr>
          <w:sz w:val="20"/>
          <w:szCs w:val="20"/>
        </w:rPr>
        <w:t>, we can expand this equation to</w:t>
      </w:r>
      <w:r w:rsidR="00FB69ED" w:rsidRPr="006849E0">
        <w:rPr>
          <w:sz w:val="20"/>
          <w:szCs w:val="20"/>
        </w:rPr>
        <w:t>:</w:t>
      </w:r>
    </w:p>
    <w:p w14:paraId="067D826D" w14:textId="08D5B39F" w:rsidR="00FB69ED" w:rsidRPr="006849E0" w:rsidRDefault="00FB69ED" w:rsidP="007A6747">
      <w:pPr>
        <w:spacing w:line="480" w:lineRule="auto"/>
        <w:rPr>
          <w:sz w:val="20"/>
          <w:szCs w:val="20"/>
        </w:rPr>
      </w:pPr>
      <m:oMathPara>
        <m:oMath>
          <m: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12000+62x</m:t>
                  </m:r>
                </m:e>
              </m:d>
              <m:r>
                <w:rPr>
                  <w:rFonts w:ascii="Cambria Math" w:hAnsi="Cambria Math"/>
                  <w:sz w:val="20"/>
                  <w:szCs w:val="20"/>
                </w:rPr>
                <m:t>*1.05</m:t>
              </m:r>
            </m:e>
          </m:d>
          <m:r>
            <w:rPr>
              <w:rFonts w:ascii="Cambria Math" w:hAnsi="Cambria Math"/>
              <w:sz w:val="20"/>
              <w:szCs w:val="20"/>
            </w:rPr>
            <m:t>*(1±p)</m:t>
          </m:r>
        </m:oMath>
      </m:oMathPara>
    </w:p>
    <w:p w14:paraId="287E7B5F" w14:textId="3782E0A7" w:rsidR="00FB69ED" w:rsidRPr="006849E0" w:rsidRDefault="00FB69ED" w:rsidP="006609B5">
      <w:pPr>
        <w:spacing w:line="480" w:lineRule="auto"/>
        <w:ind w:firstLine="720"/>
        <w:rPr>
          <w:sz w:val="20"/>
          <w:szCs w:val="20"/>
        </w:rPr>
      </w:pPr>
      <w:r w:rsidRPr="006849E0">
        <w:rPr>
          <w:sz w:val="20"/>
          <w:szCs w:val="20"/>
        </w:rPr>
        <w:t xml:space="preserve">Where </w:t>
      </w:r>
      <m:oMath>
        <m:r>
          <w:rPr>
            <w:rFonts w:ascii="Cambria Math" w:hAnsi="Cambria Math"/>
            <w:sz w:val="20"/>
            <w:szCs w:val="20"/>
          </w:rPr>
          <m:t xml:space="preserve">p </m:t>
        </m:r>
      </m:oMath>
      <w:r w:rsidRPr="006849E0">
        <w:rPr>
          <w:sz w:val="20"/>
          <w:szCs w:val="20"/>
        </w:rPr>
        <w:t xml:space="preserve">is equal to the percentage above or below the midpoint. </w:t>
      </w:r>
      <w:r w:rsidR="005D5786" w:rsidRPr="006849E0">
        <w:rPr>
          <w:sz w:val="20"/>
          <w:szCs w:val="20"/>
        </w:rPr>
        <w:t xml:space="preserve">First, we </w:t>
      </w:r>
      <w:r w:rsidR="00636CE0" w:rsidRPr="006849E0">
        <w:rPr>
          <w:sz w:val="20"/>
          <w:szCs w:val="20"/>
        </w:rPr>
        <w:t>find</w:t>
      </w:r>
      <w:r w:rsidR="005D5786" w:rsidRPr="006849E0">
        <w:rPr>
          <w:sz w:val="20"/>
          <w:szCs w:val="20"/>
        </w:rPr>
        <w:t xml:space="preserve"> the median evaluation points for each pay grade, to determine the range midpoint</w:t>
      </w:r>
      <w:r w:rsidRPr="006849E0">
        <w:rPr>
          <w:sz w:val="20"/>
          <w:szCs w:val="20"/>
        </w:rPr>
        <w:t>.</w:t>
      </w:r>
      <w:r w:rsidR="005D15DC" w:rsidRPr="006849E0">
        <w:rPr>
          <w:sz w:val="20"/>
          <w:szCs w:val="20"/>
        </w:rPr>
        <w:t xml:space="preserve"> We can then apply this formula to the midpoint to determine the range minimum and maximum.</w:t>
      </w:r>
    </w:p>
    <w:p w14:paraId="3A6E9E63" w14:textId="229B8FD0" w:rsidR="007A6747" w:rsidRPr="006849E0" w:rsidRDefault="005B5142" w:rsidP="005B5142">
      <w:pPr>
        <w:spacing w:line="480" w:lineRule="auto"/>
        <w:rPr>
          <w:b/>
          <w:bCs/>
          <w:sz w:val="20"/>
          <w:szCs w:val="20"/>
        </w:rPr>
      </w:pPr>
      <w:r w:rsidRPr="006849E0">
        <w:rPr>
          <w:b/>
          <w:bCs/>
          <w:sz w:val="20"/>
          <w:szCs w:val="20"/>
        </w:rPr>
        <w:t xml:space="preserve">2.) </w:t>
      </w:r>
      <w:r w:rsidR="003A4B05" w:rsidRPr="006849E0">
        <w:rPr>
          <w:b/>
          <w:bCs/>
          <w:sz w:val="20"/>
          <w:szCs w:val="20"/>
        </w:rPr>
        <w:t>Compensation Table:</w:t>
      </w:r>
    </w:p>
    <w:p w14:paraId="71A4F29B" w14:textId="04CB147A" w:rsidR="003A4B05" w:rsidRPr="006849E0" w:rsidRDefault="003A4B05" w:rsidP="007A6747">
      <w:pPr>
        <w:spacing w:line="480" w:lineRule="auto"/>
        <w:rPr>
          <w:sz w:val="20"/>
          <w:szCs w:val="20"/>
        </w:rPr>
      </w:pPr>
      <w:r w:rsidRPr="006849E0">
        <w:rPr>
          <w:sz w:val="20"/>
          <w:szCs w:val="20"/>
        </w:rPr>
        <w:tab/>
        <w:t xml:space="preserve">With this information, we can complete the pay policy compensation table as follows: </w:t>
      </w:r>
    </w:p>
    <w:tbl>
      <w:tblPr>
        <w:tblW w:w="9415" w:type="dxa"/>
        <w:tblLook w:val="04A0" w:firstRow="1" w:lastRow="0" w:firstColumn="1" w:lastColumn="0" w:noHBand="0" w:noVBand="1"/>
      </w:tblPr>
      <w:tblGrid>
        <w:gridCol w:w="839"/>
        <w:gridCol w:w="1201"/>
        <w:gridCol w:w="1501"/>
        <w:gridCol w:w="1345"/>
        <w:gridCol w:w="1742"/>
        <w:gridCol w:w="1345"/>
        <w:gridCol w:w="1442"/>
      </w:tblGrid>
      <w:tr w:rsidR="0036617B" w:rsidRPr="006849E0" w14:paraId="576D1BC8" w14:textId="77777777" w:rsidTr="005F77A1">
        <w:trPr>
          <w:trHeight w:val="1051"/>
        </w:trPr>
        <w:tc>
          <w:tcPr>
            <w:tcW w:w="839" w:type="dxa"/>
            <w:tcBorders>
              <w:top w:val="nil"/>
              <w:left w:val="nil"/>
              <w:bottom w:val="single" w:sz="12" w:space="0" w:color="FFFFFF"/>
              <w:right w:val="single" w:sz="4" w:space="0" w:color="FFFFFF"/>
            </w:tcBorders>
            <w:shd w:val="clear" w:color="5B9BD5" w:fill="5B9BD5"/>
            <w:vAlign w:val="bottom"/>
            <w:hideMark/>
          </w:tcPr>
          <w:p w14:paraId="2899B30E" w14:textId="77777777" w:rsidR="0036617B" w:rsidRPr="006849E0" w:rsidRDefault="0036617B">
            <w:pPr>
              <w:rPr>
                <w:b/>
                <w:bCs/>
                <w:color w:val="FFFFFF"/>
                <w:sz w:val="20"/>
                <w:szCs w:val="20"/>
              </w:rPr>
            </w:pPr>
            <w:r w:rsidRPr="006849E0">
              <w:rPr>
                <w:b/>
                <w:bCs/>
                <w:color w:val="FFFFFF"/>
                <w:sz w:val="20"/>
                <w:szCs w:val="20"/>
              </w:rPr>
              <w:t>Pay Grade</w:t>
            </w:r>
          </w:p>
        </w:tc>
        <w:tc>
          <w:tcPr>
            <w:tcW w:w="1201" w:type="dxa"/>
            <w:tcBorders>
              <w:top w:val="nil"/>
              <w:left w:val="single" w:sz="4" w:space="0" w:color="FFFFFF"/>
              <w:bottom w:val="single" w:sz="12" w:space="0" w:color="FFFFFF"/>
              <w:right w:val="single" w:sz="4" w:space="0" w:color="FFFFFF"/>
            </w:tcBorders>
            <w:shd w:val="clear" w:color="5B9BD5" w:fill="5B9BD5"/>
            <w:vAlign w:val="bottom"/>
            <w:hideMark/>
          </w:tcPr>
          <w:p w14:paraId="2B76E82B" w14:textId="77777777" w:rsidR="0036617B" w:rsidRPr="006849E0" w:rsidRDefault="0036617B">
            <w:pPr>
              <w:rPr>
                <w:b/>
                <w:bCs/>
                <w:color w:val="FFFFFF"/>
                <w:sz w:val="20"/>
                <w:szCs w:val="20"/>
              </w:rPr>
            </w:pPr>
            <w:r w:rsidRPr="006849E0">
              <w:rPr>
                <w:b/>
                <w:bCs/>
                <w:color w:val="FFFFFF"/>
                <w:sz w:val="20"/>
                <w:szCs w:val="20"/>
              </w:rPr>
              <w:t>Job Evaluation Points</w:t>
            </w:r>
          </w:p>
        </w:tc>
        <w:tc>
          <w:tcPr>
            <w:tcW w:w="1501" w:type="dxa"/>
            <w:tcBorders>
              <w:top w:val="nil"/>
              <w:left w:val="single" w:sz="4" w:space="0" w:color="FFFFFF"/>
              <w:bottom w:val="single" w:sz="12" w:space="0" w:color="FFFFFF"/>
              <w:right w:val="single" w:sz="4" w:space="0" w:color="FFFFFF"/>
            </w:tcBorders>
            <w:shd w:val="clear" w:color="5B9BD5" w:fill="5B9BD5"/>
            <w:vAlign w:val="bottom"/>
            <w:hideMark/>
          </w:tcPr>
          <w:p w14:paraId="0BB5896C" w14:textId="77777777" w:rsidR="0036617B" w:rsidRPr="006849E0" w:rsidRDefault="0036617B">
            <w:pPr>
              <w:rPr>
                <w:b/>
                <w:bCs/>
                <w:color w:val="FFFFFF"/>
                <w:sz w:val="20"/>
                <w:szCs w:val="20"/>
              </w:rPr>
            </w:pPr>
            <w:r w:rsidRPr="006849E0">
              <w:rPr>
                <w:b/>
                <w:bCs/>
                <w:color w:val="FFFFFF"/>
                <w:sz w:val="20"/>
                <w:szCs w:val="20"/>
              </w:rPr>
              <w:t>Median Evaluation Points</w:t>
            </w:r>
          </w:p>
        </w:tc>
        <w:tc>
          <w:tcPr>
            <w:tcW w:w="1345" w:type="dxa"/>
            <w:tcBorders>
              <w:top w:val="nil"/>
              <w:left w:val="single" w:sz="4" w:space="0" w:color="FFFFFF"/>
              <w:bottom w:val="single" w:sz="12" w:space="0" w:color="FFFFFF"/>
              <w:right w:val="single" w:sz="4" w:space="0" w:color="FFFFFF"/>
            </w:tcBorders>
            <w:shd w:val="clear" w:color="5B9BD5" w:fill="5B9BD5"/>
            <w:vAlign w:val="bottom"/>
            <w:hideMark/>
          </w:tcPr>
          <w:p w14:paraId="4E65B8DE" w14:textId="661BE16D" w:rsidR="0036617B" w:rsidRPr="006849E0" w:rsidRDefault="0036617B">
            <w:pPr>
              <w:rPr>
                <w:b/>
                <w:bCs/>
                <w:color w:val="FFFFFF"/>
                <w:sz w:val="20"/>
                <w:szCs w:val="20"/>
              </w:rPr>
            </w:pPr>
            <w:r w:rsidRPr="006849E0">
              <w:rPr>
                <w:b/>
                <w:bCs/>
                <w:color w:val="FFFFFF"/>
                <w:sz w:val="20"/>
                <w:szCs w:val="20"/>
              </w:rPr>
              <w:t>Range Min</w:t>
            </w:r>
            <w:r w:rsidR="005F77A1" w:rsidRPr="006849E0">
              <w:rPr>
                <w:b/>
                <w:bCs/>
                <w:color w:val="FFFFFF"/>
                <w:sz w:val="20"/>
                <w:szCs w:val="20"/>
              </w:rPr>
              <w:t>imum</w:t>
            </w:r>
          </w:p>
        </w:tc>
        <w:tc>
          <w:tcPr>
            <w:tcW w:w="1742" w:type="dxa"/>
            <w:tcBorders>
              <w:top w:val="nil"/>
              <w:left w:val="single" w:sz="4" w:space="0" w:color="FFFFFF"/>
              <w:bottom w:val="single" w:sz="12" w:space="0" w:color="FFFFFF"/>
              <w:right w:val="single" w:sz="4" w:space="0" w:color="FFFFFF"/>
            </w:tcBorders>
            <w:shd w:val="clear" w:color="5B9BD5" w:fill="5B9BD5"/>
            <w:vAlign w:val="bottom"/>
            <w:hideMark/>
          </w:tcPr>
          <w:p w14:paraId="2F72052D" w14:textId="77777777" w:rsidR="0036617B" w:rsidRPr="006849E0" w:rsidRDefault="0036617B">
            <w:pPr>
              <w:rPr>
                <w:b/>
                <w:bCs/>
                <w:color w:val="FFFFFF"/>
                <w:sz w:val="20"/>
                <w:szCs w:val="20"/>
              </w:rPr>
            </w:pPr>
            <w:r w:rsidRPr="006849E0">
              <w:rPr>
                <w:b/>
                <w:bCs/>
                <w:color w:val="FFFFFF"/>
                <w:sz w:val="20"/>
                <w:szCs w:val="20"/>
              </w:rPr>
              <w:t>Range Midpoint</w:t>
            </w:r>
          </w:p>
        </w:tc>
        <w:tc>
          <w:tcPr>
            <w:tcW w:w="1345" w:type="dxa"/>
            <w:tcBorders>
              <w:top w:val="nil"/>
              <w:left w:val="single" w:sz="4" w:space="0" w:color="FFFFFF"/>
              <w:bottom w:val="single" w:sz="12" w:space="0" w:color="FFFFFF"/>
              <w:right w:val="single" w:sz="4" w:space="0" w:color="FFFFFF"/>
            </w:tcBorders>
            <w:shd w:val="clear" w:color="5B9BD5" w:fill="5B9BD5"/>
            <w:vAlign w:val="bottom"/>
            <w:hideMark/>
          </w:tcPr>
          <w:p w14:paraId="443D51BC" w14:textId="4D1C3991" w:rsidR="0036617B" w:rsidRPr="006849E0" w:rsidRDefault="0036617B">
            <w:pPr>
              <w:rPr>
                <w:b/>
                <w:bCs/>
                <w:color w:val="FFFFFF"/>
                <w:sz w:val="20"/>
                <w:szCs w:val="20"/>
              </w:rPr>
            </w:pPr>
            <w:r w:rsidRPr="006849E0">
              <w:rPr>
                <w:b/>
                <w:bCs/>
                <w:color w:val="FFFFFF"/>
                <w:sz w:val="20"/>
                <w:szCs w:val="20"/>
              </w:rPr>
              <w:t>Range Max</w:t>
            </w:r>
            <w:r w:rsidR="005F77A1" w:rsidRPr="006849E0">
              <w:rPr>
                <w:b/>
                <w:bCs/>
                <w:color w:val="FFFFFF"/>
                <w:sz w:val="20"/>
                <w:szCs w:val="20"/>
              </w:rPr>
              <w:t>imum</w:t>
            </w:r>
          </w:p>
        </w:tc>
        <w:tc>
          <w:tcPr>
            <w:tcW w:w="1442" w:type="dxa"/>
            <w:tcBorders>
              <w:top w:val="nil"/>
              <w:left w:val="single" w:sz="4" w:space="0" w:color="FFFFFF"/>
              <w:bottom w:val="single" w:sz="12" w:space="0" w:color="FFFFFF"/>
              <w:right w:val="nil"/>
            </w:tcBorders>
            <w:shd w:val="clear" w:color="5B9BD5" w:fill="5B9BD5"/>
            <w:vAlign w:val="bottom"/>
            <w:hideMark/>
          </w:tcPr>
          <w:p w14:paraId="7F757096" w14:textId="77777777" w:rsidR="0036617B" w:rsidRPr="006849E0" w:rsidRDefault="0036617B">
            <w:pPr>
              <w:rPr>
                <w:b/>
                <w:bCs/>
                <w:color w:val="FFFFFF"/>
                <w:sz w:val="20"/>
                <w:szCs w:val="20"/>
              </w:rPr>
            </w:pPr>
            <w:r w:rsidRPr="006849E0">
              <w:rPr>
                <w:b/>
                <w:bCs/>
                <w:color w:val="FFFFFF"/>
                <w:sz w:val="20"/>
                <w:szCs w:val="20"/>
              </w:rPr>
              <w:t>% Above/Below Mid-Point</w:t>
            </w:r>
          </w:p>
        </w:tc>
      </w:tr>
      <w:tr w:rsidR="00291F31" w:rsidRPr="006849E0" w14:paraId="7B642C99" w14:textId="77777777" w:rsidTr="005F77A1">
        <w:trPr>
          <w:trHeight w:val="494"/>
        </w:trPr>
        <w:tc>
          <w:tcPr>
            <w:tcW w:w="839" w:type="dxa"/>
            <w:tcBorders>
              <w:top w:val="single" w:sz="4" w:space="0" w:color="FFFFFF"/>
              <w:left w:val="nil"/>
              <w:bottom w:val="single" w:sz="4" w:space="0" w:color="FFFFFF"/>
              <w:right w:val="single" w:sz="4" w:space="0" w:color="FFFFFF"/>
            </w:tcBorders>
            <w:shd w:val="clear" w:color="BDD7EE" w:fill="BDD7EE"/>
            <w:noWrap/>
            <w:vAlign w:val="bottom"/>
            <w:hideMark/>
          </w:tcPr>
          <w:p w14:paraId="0FCFBA13" w14:textId="77777777" w:rsidR="0036617B" w:rsidRPr="006849E0" w:rsidRDefault="0036617B">
            <w:pPr>
              <w:jc w:val="right"/>
              <w:rPr>
                <w:color w:val="000000"/>
                <w:sz w:val="20"/>
                <w:szCs w:val="20"/>
              </w:rPr>
            </w:pPr>
            <w:r w:rsidRPr="006849E0">
              <w:rPr>
                <w:color w:val="000000"/>
                <w:sz w:val="20"/>
                <w:szCs w:val="20"/>
              </w:rPr>
              <w:t>1</w:t>
            </w:r>
          </w:p>
        </w:tc>
        <w:tc>
          <w:tcPr>
            <w:tcW w:w="120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F222C64" w14:textId="77777777" w:rsidR="0036617B" w:rsidRPr="006849E0" w:rsidRDefault="0036617B">
            <w:pPr>
              <w:rPr>
                <w:color w:val="000000"/>
                <w:sz w:val="20"/>
                <w:szCs w:val="20"/>
              </w:rPr>
            </w:pPr>
            <w:r w:rsidRPr="006849E0">
              <w:rPr>
                <w:color w:val="000000"/>
                <w:sz w:val="20"/>
                <w:szCs w:val="20"/>
              </w:rPr>
              <w:t>200-399</w:t>
            </w:r>
          </w:p>
        </w:tc>
        <w:tc>
          <w:tcPr>
            <w:tcW w:w="150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0DC8BA" w14:textId="77777777" w:rsidR="0036617B" w:rsidRPr="006849E0" w:rsidRDefault="0036617B">
            <w:pPr>
              <w:jc w:val="right"/>
              <w:rPr>
                <w:color w:val="000000"/>
                <w:sz w:val="20"/>
                <w:szCs w:val="20"/>
              </w:rPr>
            </w:pPr>
            <w:r w:rsidRPr="006849E0">
              <w:rPr>
                <w:color w:val="000000"/>
                <w:sz w:val="20"/>
                <w:szCs w:val="20"/>
              </w:rPr>
              <w:t>299.5</w:t>
            </w:r>
          </w:p>
        </w:tc>
        <w:tc>
          <w:tcPr>
            <w:tcW w:w="134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4DA5D97" w14:textId="77777777" w:rsidR="0036617B" w:rsidRPr="006849E0" w:rsidRDefault="0036617B">
            <w:pPr>
              <w:rPr>
                <w:color w:val="000000"/>
                <w:sz w:val="20"/>
                <w:szCs w:val="20"/>
              </w:rPr>
            </w:pPr>
            <w:r w:rsidRPr="006849E0">
              <w:rPr>
                <w:color w:val="000000"/>
                <w:sz w:val="20"/>
                <w:szCs w:val="20"/>
              </w:rPr>
              <w:t xml:space="preserve"> $   28,887.71 </w:t>
            </w:r>
          </w:p>
        </w:tc>
        <w:tc>
          <w:tcPr>
            <w:tcW w:w="1742"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8453169" w14:textId="77777777" w:rsidR="0036617B" w:rsidRPr="006849E0" w:rsidRDefault="0036617B">
            <w:pPr>
              <w:rPr>
                <w:color w:val="000000"/>
                <w:sz w:val="20"/>
                <w:szCs w:val="20"/>
              </w:rPr>
            </w:pPr>
            <w:r w:rsidRPr="006849E0">
              <w:rPr>
                <w:color w:val="000000"/>
                <w:sz w:val="20"/>
                <w:szCs w:val="20"/>
              </w:rPr>
              <w:t xml:space="preserve"> $           32,097.45 </w:t>
            </w:r>
          </w:p>
        </w:tc>
        <w:tc>
          <w:tcPr>
            <w:tcW w:w="134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8574E4" w14:textId="77777777" w:rsidR="0036617B" w:rsidRPr="006849E0" w:rsidRDefault="0036617B">
            <w:pPr>
              <w:rPr>
                <w:color w:val="000000"/>
                <w:sz w:val="20"/>
                <w:szCs w:val="20"/>
              </w:rPr>
            </w:pPr>
            <w:r w:rsidRPr="006849E0">
              <w:rPr>
                <w:color w:val="000000"/>
                <w:sz w:val="20"/>
                <w:szCs w:val="20"/>
              </w:rPr>
              <w:t xml:space="preserve"> $   35,307.20 </w:t>
            </w:r>
          </w:p>
        </w:tc>
        <w:tc>
          <w:tcPr>
            <w:tcW w:w="1442" w:type="dxa"/>
            <w:tcBorders>
              <w:top w:val="single" w:sz="4" w:space="0" w:color="FFFFFF"/>
              <w:left w:val="single" w:sz="4" w:space="0" w:color="FFFFFF"/>
              <w:bottom w:val="single" w:sz="4" w:space="0" w:color="FFFFFF"/>
              <w:right w:val="nil"/>
            </w:tcBorders>
            <w:shd w:val="clear" w:color="BDD7EE" w:fill="BDD7EE"/>
            <w:noWrap/>
            <w:vAlign w:val="bottom"/>
            <w:hideMark/>
          </w:tcPr>
          <w:p w14:paraId="37E23050" w14:textId="77777777" w:rsidR="0036617B" w:rsidRPr="006849E0" w:rsidRDefault="0036617B">
            <w:pPr>
              <w:jc w:val="right"/>
              <w:rPr>
                <w:color w:val="000000"/>
                <w:sz w:val="20"/>
                <w:szCs w:val="20"/>
              </w:rPr>
            </w:pPr>
            <w:r w:rsidRPr="006849E0">
              <w:rPr>
                <w:color w:val="000000"/>
                <w:sz w:val="20"/>
                <w:szCs w:val="20"/>
              </w:rPr>
              <w:t>10%</w:t>
            </w:r>
          </w:p>
        </w:tc>
      </w:tr>
      <w:tr w:rsidR="00291F31" w:rsidRPr="006849E0" w14:paraId="64349F8E" w14:textId="77777777" w:rsidTr="005F77A1">
        <w:trPr>
          <w:trHeight w:val="494"/>
        </w:trPr>
        <w:tc>
          <w:tcPr>
            <w:tcW w:w="839" w:type="dxa"/>
            <w:tcBorders>
              <w:top w:val="single" w:sz="4" w:space="0" w:color="FFFFFF"/>
              <w:left w:val="nil"/>
              <w:bottom w:val="single" w:sz="4" w:space="0" w:color="FFFFFF"/>
              <w:right w:val="single" w:sz="4" w:space="0" w:color="FFFFFF"/>
            </w:tcBorders>
            <w:shd w:val="clear" w:color="DDEBF7" w:fill="DDEBF7"/>
            <w:noWrap/>
            <w:vAlign w:val="bottom"/>
            <w:hideMark/>
          </w:tcPr>
          <w:p w14:paraId="4D0FEAFC" w14:textId="77777777" w:rsidR="0036617B" w:rsidRPr="006849E0" w:rsidRDefault="0036617B">
            <w:pPr>
              <w:jc w:val="right"/>
              <w:rPr>
                <w:color w:val="000000"/>
                <w:sz w:val="20"/>
                <w:szCs w:val="20"/>
              </w:rPr>
            </w:pPr>
            <w:r w:rsidRPr="006849E0">
              <w:rPr>
                <w:color w:val="000000"/>
                <w:sz w:val="20"/>
                <w:szCs w:val="20"/>
              </w:rPr>
              <w:t>2</w:t>
            </w:r>
          </w:p>
        </w:tc>
        <w:tc>
          <w:tcPr>
            <w:tcW w:w="120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B693B2" w14:textId="77777777" w:rsidR="0036617B" w:rsidRPr="006849E0" w:rsidRDefault="0036617B">
            <w:pPr>
              <w:rPr>
                <w:color w:val="000000"/>
                <w:sz w:val="20"/>
                <w:szCs w:val="20"/>
              </w:rPr>
            </w:pPr>
            <w:r w:rsidRPr="006849E0">
              <w:rPr>
                <w:color w:val="000000"/>
                <w:sz w:val="20"/>
                <w:szCs w:val="20"/>
              </w:rPr>
              <w:t>400-599</w:t>
            </w:r>
          </w:p>
        </w:tc>
        <w:tc>
          <w:tcPr>
            <w:tcW w:w="150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4CFED0" w14:textId="77777777" w:rsidR="0036617B" w:rsidRPr="006849E0" w:rsidRDefault="0036617B">
            <w:pPr>
              <w:jc w:val="right"/>
              <w:rPr>
                <w:color w:val="000000"/>
                <w:sz w:val="20"/>
                <w:szCs w:val="20"/>
              </w:rPr>
            </w:pPr>
            <w:r w:rsidRPr="006849E0">
              <w:rPr>
                <w:color w:val="000000"/>
                <w:sz w:val="20"/>
                <w:szCs w:val="20"/>
              </w:rPr>
              <w:t>499.5</w:t>
            </w:r>
          </w:p>
        </w:tc>
        <w:tc>
          <w:tcPr>
            <w:tcW w:w="1345"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5D841D1" w14:textId="77777777" w:rsidR="0036617B" w:rsidRPr="006849E0" w:rsidRDefault="0036617B">
            <w:pPr>
              <w:rPr>
                <w:color w:val="000000"/>
                <w:sz w:val="20"/>
                <w:szCs w:val="20"/>
              </w:rPr>
            </w:pPr>
            <w:r w:rsidRPr="006849E0">
              <w:rPr>
                <w:color w:val="000000"/>
                <w:sz w:val="20"/>
                <w:szCs w:val="20"/>
              </w:rPr>
              <w:t xml:space="preserve"> $   38,349.83 </w:t>
            </w:r>
          </w:p>
        </w:tc>
        <w:tc>
          <w:tcPr>
            <w:tcW w:w="1742"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46190A5" w14:textId="77777777" w:rsidR="0036617B" w:rsidRPr="006849E0" w:rsidRDefault="0036617B">
            <w:pPr>
              <w:rPr>
                <w:color w:val="000000"/>
                <w:sz w:val="20"/>
                <w:szCs w:val="20"/>
              </w:rPr>
            </w:pPr>
            <w:r w:rsidRPr="006849E0">
              <w:rPr>
                <w:color w:val="000000"/>
                <w:sz w:val="20"/>
                <w:szCs w:val="20"/>
              </w:rPr>
              <w:t xml:space="preserve"> $           45,117.45 </w:t>
            </w:r>
          </w:p>
        </w:tc>
        <w:tc>
          <w:tcPr>
            <w:tcW w:w="1345"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DF6D9BE" w14:textId="77777777" w:rsidR="0036617B" w:rsidRPr="006849E0" w:rsidRDefault="0036617B">
            <w:pPr>
              <w:rPr>
                <w:color w:val="000000"/>
                <w:sz w:val="20"/>
                <w:szCs w:val="20"/>
              </w:rPr>
            </w:pPr>
            <w:r w:rsidRPr="006849E0">
              <w:rPr>
                <w:color w:val="000000"/>
                <w:sz w:val="20"/>
                <w:szCs w:val="20"/>
              </w:rPr>
              <w:t xml:space="preserve"> $   51,885.07 </w:t>
            </w:r>
          </w:p>
        </w:tc>
        <w:tc>
          <w:tcPr>
            <w:tcW w:w="1442" w:type="dxa"/>
            <w:tcBorders>
              <w:top w:val="single" w:sz="4" w:space="0" w:color="FFFFFF"/>
              <w:left w:val="single" w:sz="4" w:space="0" w:color="FFFFFF"/>
              <w:bottom w:val="single" w:sz="4" w:space="0" w:color="FFFFFF"/>
              <w:right w:val="nil"/>
            </w:tcBorders>
            <w:shd w:val="clear" w:color="DDEBF7" w:fill="DDEBF7"/>
            <w:noWrap/>
            <w:vAlign w:val="bottom"/>
            <w:hideMark/>
          </w:tcPr>
          <w:p w14:paraId="420C12A8" w14:textId="77777777" w:rsidR="0036617B" w:rsidRPr="006849E0" w:rsidRDefault="0036617B">
            <w:pPr>
              <w:jc w:val="right"/>
              <w:rPr>
                <w:color w:val="000000"/>
                <w:sz w:val="20"/>
                <w:szCs w:val="20"/>
              </w:rPr>
            </w:pPr>
            <w:r w:rsidRPr="006849E0">
              <w:rPr>
                <w:color w:val="000000"/>
                <w:sz w:val="20"/>
                <w:szCs w:val="20"/>
              </w:rPr>
              <w:t>15%</w:t>
            </w:r>
          </w:p>
        </w:tc>
      </w:tr>
      <w:tr w:rsidR="00291F31" w:rsidRPr="006849E0" w14:paraId="52FCF90B" w14:textId="77777777" w:rsidTr="005F77A1">
        <w:trPr>
          <w:trHeight w:val="494"/>
        </w:trPr>
        <w:tc>
          <w:tcPr>
            <w:tcW w:w="839" w:type="dxa"/>
            <w:tcBorders>
              <w:top w:val="single" w:sz="4" w:space="0" w:color="FFFFFF"/>
              <w:left w:val="nil"/>
              <w:bottom w:val="single" w:sz="4" w:space="0" w:color="FFFFFF"/>
              <w:right w:val="single" w:sz="4" w:space="0" w:color="FFFFFF"/>
            </w:tcBorders>
            <w:shd w:val="clear" w:color="BDD7EE" w:fill="BDD7EE"/>
            <w:noWrap/>
            <w:vAlign w:val="bottom"/>
            <w:hideMark/>
          </w:tcPr>
          <w:p w14:paraId="51D9F356" w14:textId="77777777" w:rsidR="0036617B" w:rsidRPr="006849E0" w:rsidRDefault="0036617B">
            <w:pPr>
              <w:jc w:val="right"/>
              <w:rPr>
                <w:color w:val="000000"/>
                <w:sz w:val="20"/>
                <w:szCs w:val="20"/>
              </w:rPr>
            </w:pPr>
            <w:r w:rsidRPr="006849E0">
              <w:rPr>
                <w:color w:val="000000"/>
                <w:sz w:val="20"/>
                <w:szCs w:val="20"/>
              </w:rPr>
              <w:t>3</w:t>
            </w:r>
          </w:p>
        </w:tc>
        <w:tc>
          <w:tcPr>
            <w:tcW w:w="120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1590189" w14:textId="77777777" w:rsidR="0036617B" w:rsidRPr="006849E0" w:rsidRDefault="0036617B">
            <w:pPr>
              <w:rPr>
                <w:color w:val="000000"/>
                <w:sz w:val="20"/>
                <w:szCs w:val="20"/>
              </w:rPr>
            </w:pPr>
            <w:r w:rsidRPr="006849E0">
              <w:rPr>
                <w:color w:val="000000"/>
                <w:sz w:val="20"/>
                <w:szCs w:val="20"/>
              </w:rPr>
              <w:t>600-799</w:t>
            </w:r>
          </w:p>
        </w:tc>
        <w:tc>
          <w:tcPr>
            <w:tcW w:w="150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E9CAFB3" w14:textId="77777777" w:rsidR="0036617B" w:rsidRPr="006849E0" w:rsidRDefault="0036617B">
            <w:pPr>
              <w:jc w:val="right"/>
              <w:rPr>
                <w:color w:val="000000"/>
                <w:sz w:val="20"/>
                <w:szCs w:val="20"/>
              </w:rPr>
            </w:pPr>
            <w:r w:rsidRPr="006849E0">
              <w:rPr>
                <w:color w:val="000000"/>
                <w:sz w:val="20"/>
                <w:szCs w:val="20"/>
              </w:rPr>
              <w:t>699.5</w:t>
            </w:r>
          </w:p>
        </w:tc>
        <w:tc>
          <w:tcPr>
            <w:tcW w:w="134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C0D3215" w14:textId="77777777" w:rsidR="0036617B" w:rsidRPr="006849E0" w:rsidRDefault="0036617B">
            <w:pPr>
              <w:rPr>
                <w:color w:val="000000"/>
                <w:sz w:val="20"/>
                <w:szCs w:val="20"/>
              </w:rPr>
            </w:pPr>
            <w:r w:rsidRPr="006849E0">
              <w:rPr>
                <w:color w:val="000000"/>
                <w:sz w:val="20"/>
                <w:szCs w:val="20"/>
              </w:rPr>
              <w:t xml:space="preserve"> $   46,509.96 </w:t>
            </w:r>
          </w:p>
        </w:tc>
        <w:tc>
          <w:tcPr>
            <w:tcW w:w="1742"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47111E" w14:textId="77777777" w:rsidR="0036617B" w:rsidRPr="006849E0" w:rsidRDefault="0036617B">
            <w:pPr>
              <w:rPr>
                <w:color w:val="000000"/>
                <w:sz w:val="20"/>
                <w:szCs w:val="20"/>
              </w:rPr>
            </w:pPr>
            <w:r w:rsidRPr="006849E0">
              <w:rPr>
                <w:color w:val="000000"/>
                <w:sz w:val="20"/>
                <w:szCs w:val="20"/>
              </w:rPr>
              <w:t xml:space="preserve"> $           58,137.45 </w:t>
            </w:r>
          </w:p>
        </w:tc>
        <w:tc>
          <w:tcPr>
            <w:tcW w:w="1345"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687C4C" w14:textId="77777777" w:rsidR="0036617B" w:rsidRPr="006849E0" w:rsidRDefault="0036617B">
            <w:pPr>
              <w:rPr>
                <w:color w:val="000000"/>
                <w:sz w:val="20"/>
                <w:szCs w:val="20"/>
              </w:rPr>
            </w:pPr>
            <w:r w:rsidRPr="006849E0">
              <w:rPr>
                <w:color w:val="000000"/>
                <w:sz w:val="20"/>
                <w:szCs w:val="20"/>
              </w:rPr>
              <w:t xml:space="preserve"> $   69,764.94 </w:t>
            </w:r>
          </w:p>
        </w:tc>
        <w:tc>
          <w:tcPr>
            <w:tcW w:w="1442" w:type="dxa"/>
            <w:tcBorders>
              <w:top w:val="single" w:sz="4" w:space="0" w:color="FFFFFF"/>
              <w:left w:val="single" w:sz="4" w:space="0" w:color="FFFFFF"/>
              <w:bottom w:val="single" w:sz="4" w:space="0" w:color="FFFFFF"/>
              <w:right w:val="nil"/>
            </w:tcBorders>
            <w:shd w:val="clear" w:color="BDD7EE" w:fill="BDD7EE"/>
            <w:noWrap/>
            <w:vAlign w:val="bottom"/>
            <w:hideMark/>
          </w:tcPr>
          <w:p w14:paraId="697545A0" w14:textId="77777777" w:rsidR="0036617B" w:rsidRPr="006849E0" w:rsidRDefault="0036617B">
            <w:pPr>
              <w:jc w:val="right"/>
              <w:rPr>
                <w:color w:val="000000"/>
                <w:sz w:val="20"/>
                <w:szCs w:val="20"/>
              </w:rPr>
            </w:pPr>
            <w:r w:rsidRPr="006849E0">
              <w:rPr>
                <w:color w:val="000000"/>
                <w:sz w:val="20"/>
                <w:szCs w:val="20"/>
              </w:rPr>
              <w:t>20%</w:t>
            </w:r>
          </w:p>
        </w:tc>
      </w:tr>
      <w:tr w:rsidR="00291F31" w:rsidRPr="006849E0" w14:paraId="0466BD96" w14:textId="77777777" w:rsidTr="005F77A1">
        <w:trPr>
          <w:trHeight w:val="494"/>
        </w:trPr>
        <w:tc>
          <w:tcPr>
            <w:tcW w:w="839" w:type="dxa"/>
            <w:tcBorders>
              <w:top w:val="single" w:sz="4" w:space="0" w:color="FFFFFF"/>
              <w:left w:val="nil"/>
              <w:bottom w:val="nil"/>
              <w:right w:val="single" w:sz="4" w:space="0" w:color="FFFFFF"/>
            </w:tcBorders>
            <w:shd w:val="clear" w:color="DDEBF7" w:fill="DDEBF7"/>
            <w:noWrap/>
            <w:vAlign w:val="bottom"/>
            <w:hideMark/>
          </w:tcPr>
          <w:p w14:paraId="4DEB06BE" w14:textId="77777777" w:rsidR="0036617B" w:rsidRPr="006849E0" w:rsidRDefault="0036617B">
            <w:pPr>
              <w:jc w:val="right"/>
              <w:rPr>
                <w:color w:val="000000"/>
                <w:sz w:val="20"/>
                <w:szCs w:val="20"/>
              </w:rPr>
            </w:pPr>
            <w:r w:rsidRPr="006849E0">
              <w:rPr>
                <w:color w:val="000000"/>
                <w:sz w:val="20"/>
                <w:szCs w:val="20"/>
              </w:rPr>
              <w:t>4</w:t>
            </w:r>
          </w:p>
        </w:tc>
        <w:tc>
          <w:tcPr>
            <w:tcW w:w="1201" w:type="dxa"/>
            <w:tcBorders>
              <w:top w:val="single" w:sz="4" w:space="0" w:color="FFFFFF"/>
              <w:left w:val="single" w:sz="4" w:space="0" w:color="FFFFFF"/>
              <w:bottom w:val="nil"/>
              <w:right w:val="single" w:sz="4" w:space="0" w:color="FFFFFF"/>
            </w:tcBorders>
            <w:shd w:val="clear" w:color="DDEBF7" w:fill="DDEBF7"/>
            <w:noWrap/>
            <w:vAlign w:val="bottom"/>
            <w:hideMark/>
          </w:tcPr>
          <w:p w14:paraId="4C6E8881" w14:textId="77777777" w:rsidR="0036617B" w:rsidRPr="006849E0" w:rsidRDefault="0036617B">
            <w:pPr>
              <w:rPr>
                <w:color w:val="000000"/>
                <w:sz w:val="20"/>
                <w:szCs w:val="20"/>
              </w:rPr>
            </w:pPr>
            <w:r w:rsidRPr="006849E0">
              <w:rPr>
                <w:color w:val="000000"/>
                <w:sz w:val="20"/>
                <w:szCs w:val="20"/>
              </w:rPr>
              <w:t>800-1000</w:t>
            </w:r>
          </w:p>
        </w:tc>
        <w:tc>
          <w:tcPr>
            <w:tcW w:w="1501" w:type="dxa"/>
            <w:tcBorders>
              <w:top w:val="single" w:sz="4" w:space="0" w:color="FFFFFF"/>
              <w:left w:val="single" w:sz="4" w:space="0" w:color="FFFFFF"/>
              <w:bottom w:val="nil"/>
              <w:right w:val="single" w:sz="4" w:space="0" w:color="FFFFFF"/>
            </w:tcBorders>
            <w:shd w:val="clear" w:color="DDEBF7" w:fill="DDEBF7"/>
            <w:noWrap/>
            <w:vAlign w:val="bottom"/>
            <w:hideMark/>
          </w:tcPr>
          <w:p w14:paraId="4777A2C4" w14:textId="77777777" w:rsidR="0036617B" w:rsidRPr="006849E0" w:rsidRDefault="0036617B">
            <w:pPr>
              <w:jc w:val="right"/>
              <w:rPr>
                <w:color w:val="000000"/>
                <w:sz w:val="20"/>
                <w:szCs w:val="20"/>
              </w:rPr>
            </w:pPr>
            <w:r w:rsidRPr="006849E0">
              <w:rPr>
                <w:color w:val="000000"/>
                <w:sz w:val="20"/>
                <w:szCs w:val="20"/>
              </w:rPr>
              <w:t>900</w:t>
            </w:r>
          </w:p>
        </w:tc>
        <w:tc>
          <w:tcPr>
            <w:tcW w:w="1345" w:type="dxa"/>
            <w:tcBorders>
              <w:top w:val="single" w:sz="4" w:space="0" w:color="FFFFFF"/>
              <w:left w:val="single" w:sz="4" w:space="0" w:color="FFFFFF"/>
              <w:bottom w:val="nil"/>
              <w:right w:val="single" w:sz="4" w:space="0" w:color="FFFFFF"/>
            </w:tcBorders>
            <w:shd w:val="clear" w:color="DDEBF7" w:fill="DDEBF7"/>
            <w:noWrap/>
            <w:vAlign w:val="bottom"/>
            <w:hideMark/>
          </w:tcPr>
          <w:p w14:paraId="53AC143D" w14:textId="77777777" w:rsidR="0036617B" w:rsidRPr="006849E0" w:rsidRDefault="0036617B">
            <w:pPr>
              <w:rPr>
                <w:color w:val="000000"/>
                <w:sz w:val="20"/>
                <w:szCs w:val="20"/>
              </w:rPr>
            </w:pPr>
            <w:r w:rsidRPr="006849E0">
              <w:rPr>
                <w:color w:val="000000"/>
                <w:sz w:val="20"/>
                <w:szCs w:val="20"/>
              </w:rPr>
              <w:t xml:space="preserve"> $   53,392.50 </w:t>
            </w:r>
          </w:p>
        </w:tc>
        <w:tc>
          <w:tcPr>
            <w:tcW w:w="1742" w:type="dxa"/>
            <w:tcBorders>
              <w:top w:val="single" w:sz="4" w:space="0" w:color="FFFFFF"/>
              <w:left w:val="single" w:sz="4" w:space="0" w:color="FFFFFF"/>
              <w:bottom w:val="nil"/>
              <w:right w:val="single" w:sz="4" w:space="0" w:color="FFFFFF"/>
            </w:tcBorders>
            <w:shd w:val="clear" w:color="DDEBF7" w:fill="DDEBF7"/>
            <w:noWrap/>
            <w:vAlign w:val="bottom"/>
            <w:hideMark/>
          </w:tcPr>
          <w:p w14:paraId="0B915C9A" w14:textId="77777777" w:rsidR="0036617B" w:rsidRPr="006849E0" w:rsidRDefault="0036617B">
            <w:pPr>
              <w:rPr>
                <w:color w:val="000000"/>
                <w:sz w:val="20"/>
                <w:szCs w:val="20"/>
              </w:rPr>
            </w:pPr>
            <w:r w:rsidRPr="006849E0">
              <w:rPr>
                <w:color w:val="000000"/>
                <w:sz w:val="20"/>
                <w:szCs w:val="20"/>
              </w:rPr>
              <w:t xml:space="preserve"> $           71,190.00 </w:t>
            </w:r>
          </w:p>
        </w:tc>
        <w:tc>
          <w:tcPr>
            <w:tcW w:w="1345" w:type="dxa"/>
            <w:tcBorders>
              <w:top w:val="single" w:sz="4" w:space="0" w:color="FFFFFF"/>
              <w:left w:val="single" w:sz="4" w:space="0" w:color="FFFFFF"/>
              <w:bottom w:val="nil"/>
              <w:right w:val="single" w:sz="4" w:space="0" w:color="FFFFFF"/>
            </w:tcBorders>
            <w:shd w:val="clear" w:color="DDEBF7" w:fill="DDEBF7"/>
            <w:noWrap/>
            <w:vAlign w:val="bottom"/>
            <w:hideMark/>
          </w:tcPr>
          <w:p w14:paraId="629A3DC2" w14:textId="77777777" w:rsidR="0036617B" w:rsidRPr="006849E0" w:rsidRDefault="0036617B">
            <w:pPr>
              <w:rPr>
                <w:color w:val="000000"/>
                <w:sz w:val="20"/>
                <w:szCs w:val="20"/>
              </w:rPr>
            </w:pPr>
            <w:r w:rsidRPr="006849E0">
              <w:rPr>
                <w:color w:val="000000"/>
                <w:sz w:val="20"/>
                <w:szCs w:val="20"/>
              </w:rPr>
              <w:t xml:space="preserve"> $   88,987.50 </w:t>
            </w:r>
          </w:p>
        </w:tc>
        <w:tc>
          <w:tcPr>
            <w:tcW w:w="1442" w:type="dxa"/>
            <w:tcBorders>
              <w:top w:val="single" w:sz="4" w:space="0" w:color="FFFFFF"/>
              <w:left w:val="single" w:sz="4" w:space="0" w:color="FFFFFF"/>
              <w:bottom w:val="nil"/>
              <w:right w:val="nil"/>
            </w:tcBorders>
            <w:shd w:val="clear" w:color="DDEBF7" w:fill="DDEBF7"/>
            <w:noWrap/>
            <w:vAlign w:val="bottom"/>
            <w:hideMark/>
          </w:tcPr>
          <w:p w14:paraId="5240360F" w14:textId="77777777" w:rsidR="0036617B" w:rsidRPr="006849E0" w:rsidRDefault="0036617B">
            <w:pPr>
              <w:jc w:val="right"/>
              <w:rPr>
                <w:color w:val="000000"/>
                <w:sz w:val="20"/>
                <w:szCs w:val="20"/>
              </w:rPr>
            </w:pPr>
            <w:r w:rsidRPr="006849E0">
              <w:rPr>
                <w:color w:val="000000"/>
                <w:sz w:val="20"/>
                <w:szCs w:val="20"/>
              </w:rPr>
              <w:t>25%</w:t>
            </w:r>
          </w:p>
        </w:tc>
      </w:tr>
    </w:tbl>
    <w:p w14:paraId="18881379" w14:textId="77777777" w:rsidR="001159BE" w:rsidRPr="006849E0" w:rsidRDefault="001159BE" w:rsidP="007A6747">
      <w:pPr>
        <w:spacing w:line="480" w:lineRule="auto"/>
        <w:rPr>
          <w:b/>
          <w:bCs/>
          <w:sz w:val="20"/>
          <w:szCs w:val="20"/>
        </w:rPr>
      </w:pPr>
    </w:p>
    <w:p w14:paraId="711A5913" w14:textId="77777777" w:rsidR="006849E0" w:rsidRDefault="006849E0" w:rsidP="007A6747">
      <w:pPr>
        <w:spacing w:line="480" w:lineRule="auto"/>
        <w:rPr>
          <w:b/>
          <w:bCs/>
          <w:sz w:val="20"/>
          <w:szCs w:val="20"/>
        </w:rPr>
      </w:pPr>
    </w:p>
    <w:p w14:paraId="28BB88FA" w14:textId="16811549" w:rsidR="005B5142" w:rsidRPr="006849E0" w:rsidRDefault="005B5142" w:rsidP="007A6747">
      <w:pPr>
        <w:spacing w:line="480" w:lineRule="auto"/>
        <w:rPr>
          <w:b/>
          <w:bCs/>
          <w:sz w:val="20"/>
          <w:szCs w:val="20"/>
        </w:rPr>
      </w:pPr>
      <w:r w:rsidRPr="006849E0">
        <w:rPr>
          <w:b/>
          <w:bCs/>
          <w:sz w:val="20"/>
          <w:szCs w:val="20"/>
        </w:rPr>
        <w:lastRenderedPageBreak/>
        <w:t>3.) Structure Analysis</w:t>
      </w:r>
    </w:p>
    <w:p w14:paraId="15B05264" w14:textId="3C5CB49A" w:rsidR="00B165D3" w:rsidRPr="006849E0" w:rsidRDefault="00E00D4A" w:rsidP="007A6747">
      <w:pPr>
        <w:spacing w:line="480" w:lineRule="auto"/>
        <w:rPr>
          <w:sz w:val="20"/>
          <w:szCs w:val="20"/>
        </w:rPr>
      </w:pPr>
      <w:r w:rsidRPr="006849E0">
        <w:rPr>
          <w:sz w:val="20"/>
          <w:szCs w:val="20"/>
        </w:rPr>
        <w:tab/>
      </w:r>
      <w:r w:rsidR="00BC6A59" w:rsidRPr="006849E0">
        <w:rPr>
          <w:sz w:val="20"/>
          <w:szCs w:val="20"/>
        </w:rPr>
        <w:t xml:space="preserve">For the organization to develop a pay structure that will be accepted by employees, it must ensure that the </w:t>
      </w:r>
      <w:r w:rsidR="00596019" w:rsidRPr="006849E0">
        <w:rPr>
          <w:sz w:val="20"/>
          <w:szCs w:val="20"/>
        </w:rPr>
        <w:t xml:space="preserve">external basis for comparison is appropriate to the organizations industry, and geographic location. Similarly, the market </w:t>
      </w:r>
      <w:r w:rsidR="00BC6A59" w:rsidRPr="006849E0">
        <w:rPr>
          <w:sz w:val="20"/>
          <w:szCs w:val="20"/>
        </w:rPr>
        <w:t xml:space="preserve">survey it develops or utilizes </w:t>
      </w:r>
      <w:r w:rsidR="001B3685" w:rsidRPr="006849E0">
        <w:rPr>
          <w:sz w:val="20"/>
          <w:szCs w:val="20"/>
        </w:rPr>
        <w:t>must be</w:t>
      </w:r>
      <w:r w:rsidR="00BC6A59" w:rsidRPr="006849E0">
        <w:rPr>
          <w:sz w:val="20"/>
          <w:szCs w:val="20"/>
        </w:rPr>
        <w:t xml:space="preserve"> relevant and </w:t>
      </w:r>
      <w:r w:rsidR="001C6A7D" w:rsidRPr="006849E0">
        <w:rPr>
          <w:sz w:val="20"/>
          <w:szCs w:val="20"/>
        </w:rPr>
        <w:t xml:space="preserve">accurate and must be </w:t>
      </w:r>
      <w:r w:rsidR="00BC6A59" w:rsidRPr="006849E0">
        <w:rPr>
          <w:sz w:val="20"/>
          <w:szCs w:val="20"/>
        </w:rPr>
        <w:t xml:space="preserve">cross-referenced between multiple </w:t>
      </w:r>
      <w:r w:rsidR="00824022" w:rsidRPr="006849E0">
        <w:rPr>
          <w:sz w:val="20"/>
          <w:szCs w:val="20"/>
        </w:rPr>
        <w:t>market</w:t>
      </w:r>
      <w:r w:rsidR="00BC6A59" w:rsidRPr="006849E0">
        <w:rPr>
          <w:sz w:val="20"/>
          <w:szCs w:val="20"/>
        </w:rPr>
        <w:t xml:space="preserve"> surveys.</w:t>
      </w:r>
      <w:r w:rsidR="009261E8" w:rsidRPr="006849E0">
        <w:rPr>
          <w:sz w:val="20"/>
          <w:szCs w:val="20"/>
        </w:rPr>
        <w:t xml:space="preserve"> In addition to this, overlap between pay grades should be kept to a minimum, as employees may struggle with reconciling the differences between compensation, and the ‘prestige’ of being placed into a higher pay grade. </w:t>
      </w:r>
      <w:r w:rsidR="007427D8" w:rsidRPr="006849E0">
        <w:rPr>
          <w:sz w:val="20"/>
          <w:szCs w:val="20"/>
        </w:rPr>
        <w:t>This incongruency can cause employees to lose motivation to pursue a higher pay grade and can cause employees to negatively compare themselves with their co-workers</w:t>
      </w:r>
      <w:r w:rsidR="0043455B" w:rsidRPr="006849E0">
        <w:rPr>
          <w:sz w:val="20"/>
          <w:szCs w:val="20"/>
        </w:rPr>
        <w:t xml:space="preserve"> </w:t>
      </w:r>
      <w:r w:rsidR="00FD0745" w:rsidRPr="006849E0">
        <w:rPr>
          <w:sz w:val="20"/>
          <w:szCs w:val="20"/>
        </w:rPr>
        <w:t>(Yap et al., 2021, p. 1</w:t>
      </w:r>
      <w:r w:rsidR="001159BE" w:rsidRPr="006849E0">
        <w:rPr>
          <w:sz w:val="20"/>
          <w:szCs w:val="20"/>
        </w:rPr>
        <w:t>53</w:t>
      </w:r>
      <w:r w:rsidR="00FD0745" w:rsidRPr="006849E0">
        <w:rPr>
          <w:sz w:val="20"/>
          <w:szCs w:val="20"/>
        </w:rPr>
        <w:t>)</w:t>
      </w:r>
      <w:r w:rsidR="007427D8" w:rsidRPr="006849E0">
        <w:rPr>
          <w:sz w:val="20"/>
          <w:szCs w:val="20"/>
        </w:rPr>
        <w:t xml:space="preserve">. For this reason, </w:t>
      </w:r>
      <w:r w:rsidR="0031175D" w:rsidRPr="006849E0">
        <w:rPr>
          <w:sz w:val="20"/>
          <w:szCs w:val="20"/>
        </w:rPr>
        <w:t>I believe the pay grades should be reworked to reduce overlap between grades.</w:t>
      </w:r>
    </w:p>
    <w:p w14:paraId="0990ACBE" w14:textId="43FFD9F2" w:rsidR="00BC6A59" w:rsidRPr="006849E0" w:rsidRDefault="003F770B" w:rsidP="001341E5">
      <w:pPr>
        <w:spacing w:line="480" w:lineRule="auto"/>
        <w:ind w:firstLine="720"/>
        <w:rPr>
          <w:sz w:val="20"/>
          <w:szCs w:val="20"/>
        </w:rPr>
      </w:pPr>
      <w:r w:rsidRPr="006849E0">
        <w:rPr>
          <w:sz w:val="20"/>
          <w:szCs w:val="20"/>
        </w:rPr>
        <w:t xml:space="preserve">The market analysis must </w:t>
      </w:r>
      <w:r w:rsidR="00B165D3" w:rsidRPr="006849E0">
        <w:rPr>
          <w:sz w:val="20"/>
          <w:szCs w:val="20"/>
        </w:rPr>
        <w:t>consider</w:t>
      </w:r>
      <w:r w:rsidRPr="006849E0">
        <w:rPr>
          <w:sz w:val="20"/>
          <w:szCs w:val="20"/>
        </w:rPr>
        <w:t xml:space="preserve"> the same occupation or skills required, the same geographic region, and the same products and services</w:t>
      </w:r>
      <w:r w:rsidR="00BC6A59" w:rsidRPr="006849E0">
        <w:rPr>
          <w:sz w:val="20"/>
          <w:szCs w:val="20"/>
        </w:rPr>
        <w:t xml:space="preserve"> </w:t>
      </w:r>
      <w:r w:rsidR="001159BE" w:rsidRPr="006849E0">
        <w:rPr>
          <w:sz w:val="20"/>
          <w:szCs w:val="20"/>
        </w:rPr>
        <w:t>(Yap et al., 2021, p. 139)</w:t>
      </w:r>
      <w:r w:rsidRPr="006849E0">
        <w:rPr>
          <w:sz w:val="20"/>
          <w:szCs w:val="20"/>
        </w:rPr>
        <w:t xml:space="preserve">. </w:t>
      </w:r>
      <w:r w:rsidR="00B165D3" w:rsidRPr="006849E0">
        <w:rPr>
          <w:sz w:val="20"/>
          <w:szCs w:val="20"/>
        </w:rPr>
        <w:t>Generally,</w:t>
      </w:r>
      <w:r w:rsidRPr="006849E0">
        <w:rPr>
          <w:sz w:val="20"/>
          <w:szCs w:val="20"/>
        </w:rPr>
        <w:t xml:space="preserve"> a national scope is considered for managers and </w:t>
      </w:r>
      <w:r w:rsidR="00B165D3" w:rsidRPr="006849E0">
        <w:rPr>
          <w:sz w:val="20"/>
          <w:szCs w:val="20"/>
        </w:rPr>
        <w:t>professional</w:t>
      </w:r>
      <w:r w:rsidR="00BB36F8" w:rsidRPr="006849E0">
        <w:rPr>
          <w:sz w:val="20"/>
          <w:szCs w:val="20"/>
        </w:rPr>
        <w:t xml:space="preserve"> positions</w:t>
      </w:r>
      <w:r w:rsidRPr="006849E0">
        <w:rPr>
          <w:sz w:val="20"/>
          <w:szCs w:val="20"/>
        </w:rPr>
        <w:t xml:space="preserve">, </w:t>
      </w:r>
      <w:r w:rsidR="00BB36F8" w:rsidRPr="006849E0">
        <w:rPr>
          <w:sz w:val="20"/>
          <w:szCs w:val="20"/>
        </w:rPr>
        <w:t>whereas a</w:t>
      </w:r>
      <w:r w:rsidRPr="006849E0">
        <w:rPr>
          <w:sz w:val="20"/>
          <w:szCs w:val="20"/>
        </w:rPr>
        <w:t xml:space="preserve"> local or regional</w:t>
      </w:r>
      <w:r w:rsidR="00BB36F8" w:rsidRPr="006849E0">
        <w:rPr>
          <w:sz w:val="20"/>
          <w:szCs w:val="20"/>
        </w:rPr>
        <w:t xml:space="preserve"> scope is more appropriate</w:t>
      </w:r>
      <w:r w:rsidRPr="006849E0">
        <w:rPr>
          <w:sz w:val="20"/>
          <w:szCs w:val="20"/>
        </w:rPr>
        <w:t xml:space="preserve"> for clerical and production positions</w:t>
      </w:r>
      <w:r w:rsidR="00BB36F8" w:rsidRPr="006849E0">
        <w:rPr>
          <w:sz w:val="20"/>
          <w:szCs w:val="20"/>
        </w:rPr>
        <w:t xml:space="preserve">, as </w:t>
      </w:r>
      <w:r w:rsidR="002B12F1" w:rsidRPr="006849E0">
        <w:rPr>
          <w:sz w:val="20"/>
          <w:szCs w:val="20"/>
        </w:rPr>
        <w:t>pay rates have much more variation based on geographical location</w:t>
      </w:r>
      <w:r w:rsidR="009D3DCA" w:rsidRPr="006849E0">
        <w:rPr>
          <w:sz w:val="20"/>
          <w:szCs w:val="20"/>
        </w:rPr>
        <w:t xml:space="preserve"> </w:t>
      </w:r>
      <w:r w:rsidR="00BE5E47" w:rsidRPr="006849E0">
        <w:rPr>
          <w:sz w:val="20"/>
          <w:szCs w:val="20"/>
        </w:rPr>
        <w:t>(Yap et al., 2021, p. 139)</w:t>
      </w:r>
      <w:r w:rsidRPr="006849E0">
        <w:rPr>
          <w:sz w:val="20"/>
          <w:szCs w:val="20"/>
        </w:rPr>
        <w:t>. Ensuring that these factors are considered will help to define the most appropriate labour market for the organization, which can inform the basis of the compensation structure,</w:t>
      </w:r>
      <w:r w:rsidR="00B165D3" w:rsidRPr="006849E0">
        <w:rPr>
          <w:sz w:val="20"/>
          <w:szCs w:val="20"/>
        </w:rPr>
        <w:t xml:space="preserve"> and can help clearly rationalize the selected pay policy to employees.</w:t>
      </w:r>
    </w:p>
    <w:p w14:paraId="00D36574" w14:textId="011CE528" w:rsidR="001341E5" w:rsidRPr="006849E0" w:rsidRDefault="00364B27" w:rsidP="001341E5">
      <w:pPr>
        <w:spacing w:line="480" w:lineRule="auto"/>
        <w:ind w:firstLine="720"/>
        <w:rPr>
          <w:sz w:val="20"/>
          <w:szCs w:val="20"/>
        </w:rPr>
      </w:pPr>
      <w:r w:rsidRPr="006849E0">
        <w:rPr>
          <w:sz w:val="20"/>
          <w:szCs w:val="20"/>
        </w:rPr>
        <w:t xml:space="preserve">Despite the organization’s 5% lead strategy, employees will likely still feel unfairly compensated it the internal pay structure of the organization is not logically consistent. </w:t>
      </w:r>
      <w:r w:rsidR="002B4DB3" w:rsidRPr="006849E0">
        <w:rPr>
          <w:sz w:val="20"/>
          <w:szCs w:val="20"/>
        </w:rPr>
        <w:t>Employees will not be sufficiently motivated if they are arbitrarily grouped into pay bands with other employees doing drastically different work with very different responsibilities</w:t>
      </w:r>
      <w:r w:rsidR="00EE3736" w:rsidRPr="006849E0">
        <w:rPr>
          <w:sz w:val="20"/>
          <w:szCs w:val="20"/>
        </w:rPr>
        <w:t xml:space="preserve"> </w:t>
      </w:r>
      <w:r w:rsidR="001159BE" w:rsidRPr="006849E0">
        <w:rPr>
          <w:sz w:val="20"/>
          <w:szCs w:val="20"/>
        </w:rPr>
        <w:t>(Yap et al., 2021, p. 158)</w:t>
      </w:r>
      <w:r w:rsidR="00F4065B">
        <w:rPr>
          <w:sz w:val="20"/>
          <w:szCs w:val="20"/>
        </w:rPr>
        <w:t>.</w:t>
      </w:r>
      <w:r w:rsidR="009969ED" w:rsidRPr="006849E0">
        <w:rPr>
          <w:sz w:val="20"/>
          <w:szCs w:val="20"/>
        </w:rPr>
        <w:t xml:space="preserve"> </w:t>
      </w:r>
      <w:r w:rsidR="00A62AFB" w:rsidRPr="006849E0">
        <w:rPr>
          <w:sz w:val="20"/>
          <w:szCs w:val="20"/>
        </w:rPr>
        <w:t xml:space="preserve">The organization’s current pay band structure will likely not effectively address this </w:t>
      </w:r>
      <w:r w:rsidR="00EA0A1F" w:rsidRPr="006849E0">
        <w:rPr>
          <w:sz w:val="20"/>
          <w:szCs w:val="20"/>
        </w:rPr>
        <w:t>since there is a high degree of overlap in pay between the bands, especially between the ‘3’ and ‘4’ level bands. Since these are the higher paying positions, the organization should be aiming to motivate the employees in level 3 to</w:t>
      </w:r>
      <w:r w:rsidR="00D05875" w:rsidRPr="006849E0">
        <w:rPr>
          <w:sz w:val="20"/>
          <w:szCs w:val="20"/>
        </w:rPr>
        <w:t xml:space="preserve"> achieve promotion to level </w:t>
      </w:r>
      <w:r w:rsidR="00655CD1" w:rsidRPr="006849E0">
        <w:rPr>
          <w:sz w:val="20"/>
          <w:szCs w:val="20"/>
        </w:rPr>
        <w:t xml:space="preserve">4, but with the current degree of compensation overlap there is likely not </w:t>
      </w:r>
      <w:r w:rsidR="00D34C08" w:rsidRPr="006849E0">
        <w:rPr>
          <w:sz w:val="20"/>
          <w:szCs w:val="20"/>
        </w:rPr>
        <w:t>sufficient</w:t>
      </w:r>
      <w:r w:rsidR="00655CD1" w:rsidRPr="006849E0">
        <w:rPr>
          <w:sz w:val="20"/>
          <w:szCs w:val="20"/>
        </w:rPr>
        <w:t xml:space="preserve"> incentive for employees to achieve promotion to level 4.</w:t>
      </w:r>
    </w:p>
    <w:p w14:paraId="67980983" w14:textId="781C01D7" w:rsidR="00A12346" w:rsidRPr="006849E0" w:rsidRDefault="005E3578" w:rsidP="00A12346">
      <w:pPr>
        <w:spacing w:line="480" w:lineRule="auto"/>
        <w:ind w:firstLine="720"/>
        <w:rPr>
          <w:sz w:val="20"/>
          <w:szCs w:val="20"/>
        </w:rPr>
      </w:pPr>
      <w:r w:rsidRPr="006849E0">
        <w:rPr>
          <w:sz w:val="20"/>
          <w:szCs w:val="20"/>
        </w:rPr>
        <w:t>Since “jobs learned quickly may have minimums much closer to the midpoints,” the organization must ensure that pay grades have clearly defined competency differences that justify pay disparity</w:t>
      </w:r>
      <w:r w:rsidR="00121DE5" w:rsidRPr="006849E0">
        <w:rPr>
          <w:sz w:val="20"/>
          <w:szCs w:val="20"/>
        </w:rPr>
        <w:t xml:space="preserve"> </w:t>
      </w:r>
      <w:r w:rsidR="001159BE" w:rsidRPr="006849E0">
        <w:rPr>
          <w:sz w:val="20"/>
          <w:szCs w:val="20"/>
        </w:rPr>
        <w:t>(Yap et al., 2021, p. 153)</w:t>
      </w:r>
      <w:r w:rsidRPr="006849E0">
        <w:rPr>
          <w:sz w:val="20"/>
          <w:szCs w:val="20"/>
        </w:rPr>
        <w:t>.</w:t>
      </w:r>
      <w:r w:rsidR="001159BE" w:rsidRPr="006849E0">
        <w:rPr>
          <w:sz w:val="20"/>
          <w:szCs w:val="20"/>
        </w:rPr>
        <w:t xml:space="preserve"> </w:t>
      </w:r>
      <w:r w:rsidRPr="006849E0">
        <w:rPr>
          <w:sz w:val="20"/>
          <w:szCs w:val="20"/>
        </w:rPr>
        <w:t xml:space="preserve">Generally, </w:t>
      </w:r>
      <w:r w:rsidR="00121DE5" w:rsidRPr="006849E0">
        <w:rPr>
          <w:sz w:val="20"/>
          <w:szCs w:val="20"/>
        </w:rPr>
        <w:t>these differences</w:t>
      </w:r>
      <w:r w:rsidRPr="006849E0">
        <w:rPr>
          <w:sz w:val="20"/>
          <w:szCs w:val="20"/>
        </w:rPr>
        <w:t xml:space="preserve"> are much more drastic at the higher pay grades, where competencies and qualifications make a large difference.</w:t>
      </w:r>
      <w:r w:rsidR="004567C9" w:rsidRPr="006849E0">
        <w:rPr>
          <w:sz w:val="20"/>
          <w:szCs w:val="20"/>
        </w:rPr>
        <w:t xml:space="preserve"> </w:t>
      </w:r>
      <w:r w:rsidR="00F4065B">
        <w:rPr>
          <w:sz w:val="20"/>
          <w:szCs w:val="20"/>
        </w:rPr>
        <w:t xml:space="preserve">This is the case in this </w:t>
      </w:r>
      <w:proofErr w:type="gramStart"/>
      <w:r w:rsidR="00F4065B">
        <w:rPr>
          <w:sz w:val="20"/>
          <w:szCs w:val="20"/>
        </w:rPr>
        <w:t>organization, since</w:t>
      </w:r>
      <w:proofErr w:type="gramEnd"/>
      <w:r w:rsidR="00F4065B">
        <w:rPr>
          <w:sz w:val="20"/>
          <w:szCs w:val="20"/>
        </w:rPr>
        <w:t xml:space="preserve"> the differences between maximum and minimum </w:t>
      </w:r>
      <w:r w:rsidR="006969AF">
        <w:rPr>
          <w:sz w:val="20"/>
          <w:szCs w:val="20"/>
        </w:rPr>
        <w:t>pay increases as the pay grade increases.</w:t>
      </w:r>
    </w:p>
    <w:p w14:paraId="0C9AB019" w14:textId="77777777" w:rsidR="001159BE" w:rsidRPr="006849E0" w:rsidRDefault="001159BE" w:rsidP="00A12346">
      <w:pPr>
        <w:spacing w:line="480" w:lineRule="auto"/>
        <w:rPr>
          <w:sz w:val="20"/>
          <w:szCs w:val="20"/>
        </w:rPr>
      </w:pPr>
    </w:p>
    <w:p w14:paraId="11AE0D7F" w14:textId="25626F86" w:rsidR="00A12346" w:rsidRPr="006849E0" w:rsidRDefault="00A12346" w:rsidP="00A12346">
      <w:pPr>
        <w:spacing w:line="480" w:lineRule="auto"/>
        <w:rPr>
          <w:b/>
          <w:bCs/>
          <w:sz w:val="20"/>
          <w:szCs w:val="20"/>
        </w:rPr>
      </w:pPr>
      <w:r w:rsidRPr="006849E0">
        <w:rPr>
          <w:b/>
          <w:bCs/>
          <w:sz w:val="20"/>
          <w:szCs w:val="20"/>
        </w:rPr>
        <w:t>References:</w:t>
      </w:r>
    </w:p>
    <w:p w14:paraId="5A81BEE9" w14:textId="77777777" w:rsidR="00A12346" w:rsidRPr="00A12346" w:rsidRDefault="00A12346" w:rsidP="00A12346">
      <w:pPr>
        <w:rPr>
          <w:sz w:val="20"/>
          <w:szCs w:val="20"/>
        </w:rPr>
      </w:pPr>
      <w:r w:rsidRPr="00A12346">
        <w:rPr>
          <w:color w:val="000000"/>
          <w:sz w:val="20"/>
          <w:szCs w:val="20"/>
        </w:rPr>
        <w:t xml:space="preserve">Yap, M., Newman, J., Gerhart, B. (2021). </w:t>
      </w:r>
      <w:r w:rsidRPr="00A12346">
        <w:rPr>
          <w:i/>
          <w:iCs/>
          <w:color w:val="000000"/>
          <w:sz w:val="20"/>
          <w:szCs w:val="20"/>
        </w:rPr>
        <w:t>Compensation</w:t>
      </w:r>
      <w:r w:rsidRPr="00A12346">
        <w:rPr>
          <w:color w:val="000000"/>
          <w:sz w:val="20"/>
          <w:szCs w:val="20"/>
        </w:rPr>
        <w:t xml:space="preserve">. </w:t>
      </w:r>
      <w:proofErr w:type="spellStart"/>
      <w:r w:rsidRPr="00A12346">
        <w:rPr>
          <w:color w:val="000000"/>
          <w:sz w:val="20"/>
          <w:szCs w:val="20"/>
        </w:rPr>
        <w:t>McGrawhill</w:t>
      </w:r>
      <w:proofErr w:type="spellEnd"/>
      <w:r w:rsidRPr="00A12346">
        <w:rPr>
          <w:color w:val="000000"/>
          <w:sz w:val="20"/>
          <w:szCs w:val="20"/>
        </w:rPr>
        <w:t xml:space="preserve">. </w:t>
      </w:r>
    </w:p>
    <w:p w14:paraId="548427E8" w14:textId="77777777" w:rsidR="00A12346" w:rsidRPr="006849E0" w:rsidRDefault="00A12346" w:rsidP="00A12346">
      <w:pPr>
        <w:spacing w:line="480" w:lineRule="auto"/>
        <w:rPr>
          <w:sz w:val="20"/>
          <w:szCs w:val="20"/>
        </w:rPr>
      </w:pPr>
    </w:p>
    <w:p w14:paraId="0DBED20D" w14:textId="77777777" w:rsidR="007665D3" w:rsidRPr="007665D3" w:rsidRDefault="007665D3" w:rsidP="007665D3">
      <w:pPr>
        <w:spacing w:before="120" w:after="120"/>
        <w:outlineLvl w:val="1"/>
        <w:rPr>
          <w:rFonts w:ascii="Arial" w:eastAsiaTheme="minorEastAsia" w:hAnsi="Arial" w:cs="Arial"/>
          <w:bCs/>
          <w:sz w:val="20"/>
          <w:szCs w:val="20"/>
          <w:lang w:val="en-US" w:eastAsia="en-CA"/>
        </w:rPr>
      </w:pPr>
      <w:bookmarkStart w:id="0" w:name="_Hlk97231899"/>
      <w:bookmarkStart w:id="1" w:name="_Hlk97232722"/>
      <w:bookmarkStart w:id="2" w:name="_Hlk97234344"/>
      <w:r w:rsidRPr="007665D3">
        <w:rPr>
          <w:rFonts w:ascii="Arial" w:eastAsiaTheme="minorEastAsia" w:hAnsi="Arial" w:cs="Arial"/>
          <w:b/>
          <w:lang w:val="en-US" w:eastAsia="en-CA"/>
        </w:rPr>
        <w:t xml:space="preserve">Evaluation: </w:t>
      </w:r>
      <w:r w:rsidRPr="007665D3">
        <w:rPr>
          <w:rFonts w:ascii="Arial" w:eastAsiaTheme="minorEastAsia" w:hAnsi="Arial" w:cs="Arial"/>
          <w:bCs/>
          <w:sz w:val="20"/>
          <w:szCs w:val="20"/>
          <w:lang w:val="en-US" w:eastAsia="en-CA"/>
        </w:rPr>
        <w:t>This assignment is graded out of 20 points using the following rubric and is worth 15% of the final grade.</w:t>
      </w:r>
    </w:p>
    <w:tbl>
      <w:tblPr>
        <w:tblStyle w:val="TableGrid"/>
        <w:tblW w:w="10060" w:type="dxa"/>
        <w:tblLook w:val="04A0" w:firstRow="1" w:lastRow="0" w:firstColumn="1" w:lastColumn="0" w:noHBand="0" w:noVBand="1"/>
      </w:tblPr>
      <w:tblGrid>
        <w:gridCol w:w="1561"/>
        <w:gridCol w:w="2351"/>
        <w:gridCol w:w="1950"/>
        <w:gridCol w:w="2181"/>
        <w:gridCol w:w="2017"/>
      </w:tblGrid>
      <w:tr w:rsidR="007665D3" w:rsidRPr="007665D3" w14:paraId="36A0E031" w14:textId="77777777" w:rsidTr="000253F5">
        <w:tc>
          <w:tcPr>
            <w:tcW w:w="1561" w:type="dxa"/>
            <w:shd w:val="clear" w:color="auto" w:fill="7F7F7F" w:themeFill="text1" w:themeFillTint="80"/>
          </w:tcPr>
          <w:p w14:paraId="6C8D052D" w14:textId="77777777" w:rsidR="007665D3" w:rsidRPr="007665D3" w:rsidRDefault="007665D3" w:rsidP="007665D3">
            <w:pPr>
              <w:jc w:val="center"/>
              <w:rPr>
                <w:rFonts w:ascii="Arial" w:eastAsiaTheme="minorEastAsia" w:hAnsi="Arial" w:cs="Arial"/>
                <w:color w:val="FFFFFF" w:themeColor="background1"/>
                <w:lang w:val="en-US"/>
              </w:rPr>
            </w:pPr>
            <w:r w:rsidRPr="007665D3">
              <w:rPr>
                <w:rFonts w:ascii="Arial" w:eastAsiaTheme="minorEastAsia" w:hAnsi="Arial" w:cs="Arial"/>
                <w:color w:val="FFFFFF" w:themeColor="background1"/>
                <w:lang w:val="en-US"/>
              </w:rPr>
              <w:t>Criteria</w:t>
            </w:r>
          </w:p>
        </w:tc>
        <w:tc>
          <w:tcPr>
            <w:tcW w:w="2351" w:type="dxa"/>
            <w:shd w:val="clear" w:color="auto" w:fill="7F7F7F" w:themeFill="text1" w:themeFillTint="80"/>
          </w:tcPr>
          <w:p w14:paraId="790C81FC" w14:textId="77777777" w:rsidR="007665D3" w:rsidRPr="007665D3" w:rsidRDefault="007665D3" w:rsidP="007665D3">
            <w:pPr>
              <w:jc w:val="center"/>
              <w:rPr>
                <w:rFonts w:ascii="Arial" w:eastAsiaTheme="minorEastAsia" w:hAnsi="Arial" w:cs="Arial"/>
                <w:color w:val="FFFFFF" w:themeColor="background1"/>
                <w:lang w:val="en-US"/>
              </w:rPr>
            </w:pPr>
            <w:r w:rsidRPr="007665D3">
              <w:rPr>
                <w:rFonts w:ascii="Arial" w:eastAsiaTheme="minorEastAsia" w:hAnsi="Arial" w:cs="Arial"/>
                <w:color w:val="FFFFFF" w:themeColor="background1"/>
                <w:lang w:val="en-US"/>
              </w:rPr>
              <w:t>Exceeds Expectations</w:t>
            </w:r>
            <w:r w:rsidRPr="007665D3">
              <w:rPr>
                <w:rFonts w:ascii="Arial" w:eastAsiaTheme="minorEastAsia" w:hAnsi="Arial" w:cs="Arial"/>
                <w:color w:val="FFFFFF" w:themeColor="background1"/>
                <w:lang w:val="en-US"/>
              </w:rPr>
              <w:br/>
              <w:t>4</w:t>
            </w:r>
          </w:p>
        </w:tc>
        <w:tc>
          <w:tcPr>
            <w:tcW w:w="1950" w:type="dxa"/>
            <w:shd w:val="clear" w:color="auto" w:fill="7F7F7F" w:themeFill="text1" w:themeFillTint="80"/>
          </w:tcPr>
          <w:p w14:paraId="6FE39D73" w14:textId="77777777" w:rsidR="007665D3" w:rsidRPr="007665D3" w:rsidRDefault="007665D3" w:rsidP="007665D3">
            <w:pPr>
              <w:jc w:val="center"/>
              <w:rPr>
                <w:rFonts w:ascii="Arial" w:eastAsiaTheme="minorEastAsia" w:hAnsi="Arial" w:cs="Arial"/>
                <w:color w:val="FFFFFF" w:themeColor="background1"/>
                <w:lang w:val="en-US"/>
              </w:rPr>
            </w:pPr>
            <w:r w:rsidRPr="007665D3">
              <w:rPr>
                <w:rFonts w:ascii="Arial" w:eastAsiaTheme="minorEastAsia" w:hAnsi="Arial" w:cs="Arial"/>
                <w:color w:val="FFFFFF" w:themeColor="background1"/>
                <w:lang w:val="en-US"/>
              </w:rPr>
              <w:t>Meets</w:t>
            </w:r>
            <w:r w:rsidRPr="007665D3">
              <w:rPr>
                <w:rFonts w:ascii="Arial" w:eastAsiaTheme="minorEastAsia" w:hAnsi="Arial" w:cs="Arial"/>
                <w:color w:val="FFFFFF" w:themeColor="background1"/>
                <w:lang w:val="en-US"/>
              </w:rPr>
              <w:br/>
              <w:t>Expectations</w:t>
            </w:r>
            <w:r w:rsidRPr="007665D3">
              <w:rPr>
                <w:rFonts w:ascii="Arial" w:eastAsiaTheme="minorEastAsia" w:hAnsi="Arial" w:cs="Arial"/>
                <w:color w:val="FFFFFF" w:themeColor="background1"/>
                <w:lang w:val="en-US"/>
              </w:rPr>
              <w:br/>
              <w:t>3</w:t>
            </w:r>
          </w:p>
        </w:tc>
        <w:tc>
          <w:tcPr>
            <w:tcW w:w="2181" w:type="dxa"/>
            <w:shd w:val="clear" w:color="auto" w:fill="7F7F7F" w:themeFill="text1" w:themeFillTint="80"/>
          </w:tcPr>
          <w:p w14:paraId="0A1C3D31" w14:textId="77777777" w:rsidR="007665D3" w:rsidRPr="007665D3" w:rsidRDefault="007665D3" w:rsidP="007665D3">
            <w:pPr>
              <w:jc w:val="center"/>
              <w:rPr>
                <w:rFonts w:ascii="Arial" w:eastAsiaTheme="minorEastAsia" w:hAnsi="Arial" w:cs="Arial"/>
                <w:color w:val="FFFFFF" w:themeColor="background1"/>
                <w:lang w:val="en-US"/>
              </w:rPr>
            </w:pPr>
            <w:r w:rsidRPr="007665D3">
              <w:rPr>
                <w:rFonts w:ascii="Arial" w:eastAsiaTheme="minorEastAsia" w:hAnsi="Arial" w:cs="Arial"/>
                <w:color w:val="FFFFFF" w:themeColor="background1"/>
                <w:lang w:val="en-US"/>
              </w:rPr>
              <w:t>Partially Meets Expectations</w:t>
            </w:r>
            <w:r w:rsidRPr="007665D3">
              <w:rPr>
                <w:rFonts w:ascii="Arial" w:eastAsiaTheme="minorEastAsia" w:hAnsi="Arial" w:cs="Arial"/>
                <w:color w:val="FFFFFF" w:themeColor="background1"/>
                <w:lang w:val="en-US"/>
              </w:rPr>
              <w:br/>
              <w:t>2</w:t>
            </w:r>
          </w:p>
        </w:tc>
        <w:tc>
          <w:tcPr>
            <w:tcW w:w="2017" w:type="dxa"/>
            <w:shd w:val="clear" w:color="auto" w:fill="7F7F7F" w:themeFill="text1" w:themeFillTint="80"/>
          </w:tcPr>
          <w:p w14:paraId="78643061" w14:textId="77777777" w:rsidR="007665D3" w:rsidRPr="007665D3" w:rsidRDefault="007665D3" w:rsidP="007665D3">
            <w:pPr>
              <w:jc w:val="center"/>
              <w:rPr>
                <w:rFonts w:ascii="Arial" w:eastAsiaTheme="minorEastAsia" w:hAnsi="Arial" w:cs="Arial"/>
                <w:color w:val="FFFFFF" w:themeColor="background1"/>
                <w:lang w:val="en-US"/>
              </w:rPr>
            </w:pPr>
            <w:r w:rsidRPr="007665D3">
              <w:rPr>
                <w:rFonts w:ascii="Arial" w:eastAsiaTheme="minorEastAsia" w:hAnsi="Arial" w:cs="Arial"/>
                <w:color w:val="FFFFFF" w:themeColor="background1"/>
                <w:lang w:val="en-US"/>
              </w:rPr>
              <w:t>Does Not Meet Expectations</w:t>
            </w:r>
            <w:r w:rsidRPr="007665D3">
              <w:rPr>
                <w:rFonts w:ascii="Arial" w:eastAsiaTheme="minorEastAsia" w:hAnsi="Arial" w:cs="Arial"/>
                <w:color w:val="FFFFFF" w:themeColor="background1"/>
                <w:lang w:val="en-US"/>
              </w:rPr>
              <w:br/>
              <w:t>1</w:t>
            </w:r>
          </w:p>
        </w:tc>
      </w:tr>
      <w:tr w:rsidR="007665D3" w:rsidRPr="007665D3" w14:paraId="7A255FE5" w14:textId="77777777" w:rsidTr="000253F5">
        <w:tc>
          <w:tcPr>
            <w:tcW w:w="1561" w:type="dxa"/>
          </w:tcPr>
          <w:p w14:paraId="54C58174" w14:textId="77777777" w:rsidR="007665D3" w:rsidRPr="007665D3" w:rsidRDefault="007665D3" w:rsidP="007665D3">
            <w:pPr>
              <w:spacing w:before="120" w:after="120"/>
              <w:rPr>
                <w:rFonts w:ascii="Arial" w:eastAsiaTheme="minorEastAsia" w:hAnsi="Arial" w:cs="Arial"/>
                <w:b/>
                <w:lang w:val="en-US"/>
              </w:rPr>
            </w:pPr>
            <w:r w:rsidRPr="007665D3">
              <w:rPr>
                <w:rFonts w:ascii="Arial" w:eastAsiaTheme="minorEastAsia" w:hAnsi="Arial" w:cs="Arial"/>
                <w:b/>
                <w:lang w:val="en-US"/>
              </w:rPr>
              <w:t>Required Components</w:t>
            </w:r>
          </w:p>
          <w:p w14:paraId="38042E2F" w14:textId="77777777" w:rsidR="007665D3" w:rsidRPr="007665D3" w:rsidRDefault="007665D3" w:rsidP="007665D3">
            <w:pPr>
              <w:rPr>
                <w:rFonts w:ascii="Arial" w:eastAsiaTheme="minorEastAsia" w:hAnsi="Arial" w:cs="Arial"/>
                <w:lang w:val="en-US"/>
              </w:rPr>
            </w:pPr>
          </w:p>
        </w:tc>
        <w:tc>
          <w:tcPr>
            <w:tcW w:w="2351" w:type="dxa"/>
          </w:tcPr>
          <w:p w14:paraId="136CA242" w14:textId="77777777" w:rsidR="007665D3" w:rsidRPr="007665D3" w:rsidRDefault="007665D3" w:rsidP="007665D3">
            <w:pPr>
              <w:rPr>
                <w:rFonts w:ascii="Arial" w:eastAsiaTheme="minorEastAsia" w:hAnsi="Arial" w:cs="Arial"/>
                <w:color w:val="FF0000"/>
                <w:sz w:val="20"/>
                <w:szCs w:val="20"/>
                <w:lang w:val="en-US"/>
              </w:rPr>
            </w:pPr>
            <w:r w:rsidRPr="007665D3">
              <w:rPr>
                <w:rFonts w:ascii="Arial" w:eastAsiaTheme="minorEastAsia" w:hAnsi="Arial" w:cs="Arial"/>
                <w:color w:val="FF0000"/>
                <w:sz w:val="20"/>
                <w:szCs w:val="20"/>
                <w:lang w:val="en-US"/>
              </w:rPr>
              <w:t>Response includes and exceeds the requirements indicated in the instructions.</w:t>
            </w:r>
          </w:p>
        </w:tc>
        <w:tc>
          <w:tcPr>
            <w:tcW w:w="1950" w:type="dxa"/>
          </w:tcPr>
          <w:p w14:paraId="49998801"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Response includes all components and meets the requirements indicated in the instructions</w:t>
            </w:r>
          </w:p>
        </w:tc>
        <w:tc>
          <w:tcPr>
            <w:tcW w:w="2181" w:type="dxa"/>
          </w:tcPr>
          <w:p w14:paraId="220379E3"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 xml:space="preserve">Response is missing/does not address some of the required components indicated in the instructions.  </w:t>
            </w:r>
          </w:p>
        </w:tc>
        <w:tc>
          <w:tcPr>
            <w:tcW w:w="2017" w:type="dxa"/>
          </w:tcPr>
          <w:p w14:paraId="7A67C60A"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Response is missing/does not address required components indicated in the instructions.</w:t>
            </w:r>
          </w:p>
        </w:tc>
      </w:tr>
      <w:tr w:rsidR="007665D3" w:rsidRPr="007665D3" w14:paraId="7CDA1FB0" w14:textId="77777777" w:rsidTr="000253F5">
        <w:tc>
          <w:tcPr>
            <w:tcW w:w="1561" w:type="dxa"/>
          </w:tcPr>
          <w:p w14:paraId="06DCD48C" w14:textId="77777777" w:rsidR="007665D3" w:rsidRPr="007665D3" w:rsidRDefault="007665D3" w:rsidP="007665D3">
            <w:pPr>
              <w:spacing w:before="120" w:after="120"/>
              <w:rPr>
                <w:rFonts w:ascii="Arial" w:eastAsiaTheme="minorEastAsia" w:hAnsi="Arial" w:cs="Arial"/>
                <w:b/>
                <w:lang w:val="en-US"/>
              </w:rPr>
            </w:pPr>
            <w:r w:rsidRPr="007665D3">
              <w:rPr>
                <w:rFonts w:ascii="Arial" w:eastAsiaTheme="minorEastAsia" w:hAnsi="Arial" w:cs="Arial"/>
                <w:b/>
                <w:lang w:val="en-US"/>
              </w:rPr>
              <w:t>Support for Ideas</w:t>
            </w:r>
          </w:p>
        </w:tc>
        <w:tc>
          <w:tcPr>
            <w:tcW w:w="2351" w:type="dxa"/>
          </w:tcPr>
          <w:p w14:paraId="60D2B82E"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Substantial and logical development of new ideas and insights. Connections between ideas logical and coherent. Conclusions are original, compelling, and topical.</w:t>
            </w:r>
          </w:p>
        </w:tc>
        <w:tc>
          <w:tcPr>
            <w:tcW w:w="1950" w:type="dxa"/>
          </w:tcPr>
          <w:p w14:paraId="0EF094D4" w14:textId="5062D989" w:rsidR="007665D3" w:rsidRPr="007665D3" w:rsidRDefault="007665D3" w:rsidP="007665D3">
            <w:pPr>
              <w:rPr>
                <w:rFonts w:ascii="Arial" w:eastAsiaTheme="minorEastAsia" w:hAnsi="Arial" w:cs="Arial"/>
                <w:color w:val="FF0000"/>
                <w:sz w:val="20"/>
                <w:szCs w:val="20"/>
                <w:lang w:val="en-US"/>
              </w:rPr>
            </w:pPr>
            <w:r w:rsidRPr="007665D3">
              <w:rPr>
                <w:rFonts w:ascii="Arial" w:eastAsiaTheme="minorEastAsia" w:hAnsi="Arial" w:cs="Arial"/>
                <w:color w:val="FF0000"/>
                <w:sz w:val="20"/>
                <w:szCs w:val="20"/>
                <w:lang w:val="en-US"/>
              </w:rPr>
              <w:t xml:space="preserve">Ideas are supported by appropriate examples that lead to logical conclusions. Consistent </w:t>
            </w:r>
            <w:proofErr w:type="gramStart"/>
            <w:r w:rsidRPr="007665D3">
              <w:rPr>
                <w:rFonts w:ascii="Arial" w:eastAsiaTheme="minorEastAsia" w:hAnsi="Arial" w:cs="Arial"/>
                <w:color w:val="FF0000"/>
                <w:sz w:val="20"/>
                <w:szCs w:val="20"/>
                <w:lang w:val="en-US"/>
              </w:rPr>
              <w:t xml:space="preserve">connections </w:t>
            </w:r>
            <w:r>
              <w:rPr>
                <w:rFonts w:ascii="Arial" w:eastAsiaTheme="minorEastAsia" w:hAnsi="Arial" w:cs="Arial"/>
                <w:color w:val="FF0000"/>
                <w:sz w:val="20"/>
                <w:szCs w:val="20"/>
                <w:lang w:val="en-US"/>
              </w:rPr>
              <w:t xml:space="preserve"> </w:t>
            </w:r>
            <w:r w:rsidRPr="007665D3">
              <w:rPr>
                <w:rFonts w:ascii="Arial" w:eastAsiaTheme="minorEastAsia" w:hAnsi="Arial" w:cs="Arial"/>
                <w:color w:val="FF0000"/>
                <w:sz w:val="20"/>
                <w:szCs w:val="20"/>
                <w:lang w:val="en-US"/>
              </w:rPr>
              <w:t>between</w:t>
            </w:r>
            <w:proofErr w:type="gramEnd"/>
            <w:r w:rsidRPr="007665D3">
              <w:rPr>
                <w:rFonts w:ascii="Arial" w:eastAsiaTheme="minorEastAsia" w:hAnsi="Arial" w:cs="Arial"/>
                <w:color w:val="FF0000"/>
                <w:sz w:val="20"/>
                <w:szCs w:val="20"/>
                <w:lang w:val="en-US"/>
              </w:rPr>
              <w:t xml:space="preserve"> ideas.  </w:t>
            </w:r>
            <w:r>
              <w:rPr>
                <w:rFonts w:ascii="Arial" w:eastAsiaTheme="minorEastAsia" w:hAnsi="Arial" w:cs="Arial"/>
                <w:color w:val="FF0000"/>
                <w:sz w:val="20"/>
                <w:szCs w:val="20"/>
                <w:lang w:val="en-US"/>
              </w:rPr>
              <w:t>3.5</w:t>
            </w:r>
          </w:p>
        </w:tc>
        <w:tc>
          <w:tcPr>
            <w:tcW w:w="2181" w:type="dxa"/>
          </w:tcPr>
          <w:p w14:paraId="3E8A53DF"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Ideas are partially supported/relevant, too broad, or repetitive. Includes some examples. Inconsistent connections between ideas.</w:t>
            </w:r>
          </w:p>
        </w:tc>
        <w:tc>
          <w:tcPr>
            <w:tcW w:w="2017" w:type="dxa"/>
          </w:tcPr>
          <w:p w14:paraId="5BC05718"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Offers simplistic or little support for ideas. Ideas are irrelevant to course. Connections between ideas are unclear.</w:t>
            </w:r>
          </w:p>
        </w:tc>
      </w:tr>
      <w:tr w:rsidR="007665D3" w:rsidRPr="007665D3" w14:paraId="633317C2" w14:textId="77777777" w:rsidTr="000253F5">
        <w:tc>
          <w:tcPr>
            <w:tcW w:w="1561" w:type="dxa"/>
          </w:tcPr>
          <w:p w14:paraId="56FE9953" w14:textId="77777777" w:rsidR="007665D3" w:rsidRPr="007665D3" w:rsidRDefault="007665D3" w:rsidP="007665D3">
            <w:pPr>
              <w:rPr>
                <w:rFonts w:ascii="Arial" w:eastAsiaTheme="minorEastAsia" w:hAnsi="Arial" w:cs="Arial"/>
                <w:lang w:val="en-US"/>
              </w:rPr>
            </w:pPr>
            <w:r w:rsidRPr="007665D3">
              <w:rPr>
                <w:rFonts w:ascii="Arial" w:eastAsiaTheme="minorEastAsia" w:hAnsi="Arial" w:cs="Arial"/>
                <w:b/>
                <w:lang w:val="en-US"/>
              </w:rPr>
              <w:t>Quality of Analysis</w:t>
            </w:r>
          </w:p>
        </w:tc>
        <w:tc>
          <w:tcPr>
            <w:tcW w:w="2351" w:type="dxa"/>
          </w:tcPr>
          <w:p w14:paraId="004CDEB2"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 xml:space="preserve">Broad and in-depth comprehension of concepts presented in course materials and relevant external resources. </w:t>
            </w:r>
          </w:p>
        </w:tc>
        <w:tc>
          <w:tcPr>
            <w:tcW w:w="1950" w:type="dxa"/>
          </w:tcPr>
          <w:p w14:paraId="20080877" w14:textId="5D34E1BB" w:rsidR="007665D3" w:rsidRPr="007665D3" w:rsidRDefault="007665D3" w:rsidP="007665D3">
            <w:pPr>
              <w:rPr>
                <w:rFonts w:ascii="Arial" w:eastAsiaTheme="minorEastAsia" w:hAnsi="Arial" w:cs="Arial"/>
                <w:color w:val="FF0000"/>
                <w:sz w:val="20"/>
                <w:szCs w:val="20"/>
                <w:lang w:val="en-US"/>
              </w:rPr>
            </w:pPr>
            <w:r w:rsidRPr="007665D3">
              <w:rPr>
                <w:rFonts w:ascii="Arial" w:eastAsiaTheme="minorEastAsia" w:hAnsi="Arial" w:cs="Arial"/>
                <w:color w:val="FF0000"/>
                <w:sz w:val="20"/>
                <w:szCs w:val="20"/>
                <w:lang w:val="en-US"/>
              </w:rPr>
              <w:t>Thorough comprehension of concepts presented in course materials. Includes course materials and relevant external resources- minimum 3.</w:t>
            </w:r>
            <w:r>
              <w:rPr>
                <w:rFonts w:ascii="Arial" w:eastAsiaTheme="minorEastAsia" w:hAnsi="Arial" w:cs="Arial"/>
                <w:color w:val="FF0000"/>
                <w:sz w:val="20"/>
                <w:szCs w:val="20"/>
                <w:lang w:val="en-US"/>
              </w:rPr>
              <w:t xml:space="preserve"> 3.5</w:t>
            </w:r>
          </w:p>
        </w:tc>
        <w:tc>
          <w:tcPr>
            <w:tcW w:w="2181" w:type="dxa"/>
          </w:tcPr>
          <w:p w14:paraId="6F3980BD"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Cursory comprehension of concepts presented in course materials. Includes course materials and external resources with limited relevance.</w:t>
            </w:r>
          </w:p>
        </w:tc>
        <w:tc>
          <w:tcPr>
            <w:tcW w:w="2017" w:type="dxa"/>
          </w:tcPr>
          <w:p w14:paraId="0C0CD424"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Superficial comprehension of concepts presented in course materials. Includes irrelevant external resources and/or few or no course materials</w:t>
            </w:r>
          </w:p>
        </w:tc>
      </w:tr>
      <w:tr w:rsidR="007665D3" w:rsidRPr="007665D3" w14:paraId="1B9A283B" w14:textId="77777777" w:rsidTr="000253F5">
        <w:tc>
          <w:tcPr>
            <w:tcW w:w="1561" w:type="dxa"/>
          </w:tcPr>
          <w:p w14:paraId="3A234D89" w14:textId="77777777" w:rsidR="007665D3" w:rsidRPr="007665D3" w:rsidRDefault="007665D3" w:rsidP="007665D3">
            <w:pPr>
              <w:rPr>
                <w:rFonts w:ascii="Arial" w:eastAsiaTheme="minorEastAsia" w:hAnsi="Arial" w:cs="Arial"/>
                <w:lang w:val="en-US"/>
              </w:rPr>
            </w:pPr>
            <w:r w:rsidRPr="007665D3">
              <w:rPr>
                <w:rFonts w:ascii="Arial" w:eastAsiaTheme="minorEastAsia" w:hAnsi="Arial" w:cs="Arial"/>
                <w:b/>
                <w:lang w:val="en-US"/>
              </w:rPr>
              <w:t>Writing &amp; Presentation</w:t>
            </w:r>
          </w:p>
        </w:tc>
        <w:tc>
          <w:tcPr>
            <w:tcW w:w="2351" w:type="dxa"/>
          </w:tcPr>
          <w:p w14:paraId="7762555C" w14:textId="77777777" w:rsidR="007665D3" w:rsidRPr="007665D3" w:rsidRDefault="007665D3" w:rsidP="007665D3">
            <w:pPr>
              <w:rPr>
                <w:rFonts w:ascii="Arial" w:eastAsiaTheme="minorEastAsia" w:hAnsi="Arial" w:cs="Arial"/>
                <w:color w:val="FF0000"/>
                <w:sz w:val="20"/>
                <w:szCs w:val="20"/>
                <w:lang w:val="en-US"/>
              </w:rPr>
            </w:pPr>
            <w:r w:rsidRPr="007665D3">
              <w:rPr>
                <w:rFonts w:ascii="Arial" w:eastAsiaTheme="minorEastAsia" w:hAnsi="Arial" w:cs="Arial"/>
                <w:color w:val="FF0000"/>
                <w:sz w:val="20"/>
                <w:szCs w:val="20"/>
                <w:lang w:val="en-US"/>
              </w:rPr>
              <w:t xml:space="preserve">Organization and visual choices fully and imaginatively support purpose. Well-constructed paragraphs/slides &amp; headings or conjunctions/transitions. </w:t>
            </w:r>
            <w:r w:rsidRPr="007665D3">
              <w:rPr>
                <w:rFonts w:ascii="Arial" w:hAnsi="Arial" w:cs="Arial"/>
                <w:color w:val="FF0000"/>
                <w:sz w:val="20"/>
                <w:szCs w:val="20"/>
                <w:lang w:val="en-US"/>
              </w:rPr>
              <w:t>No grammatical, spelling, or punctuation errors.</w:t>
            </w:r>
          </w:p>
        </w:tc>
        <w:tc>
          <w:tcPr>
            <w:tcW w:w="1950" w:type="dxa"/>
          </w:tcPr>
          <w:p w14:paraId="1271AD66"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 xml:space="preserve">Organization and visual choices support purpose. Well-constructed paragraphs/slides. </w:t>
            </w:r>
            <w:r w:rsidRPr="007665D3">
              <w:rPr>
                <w:rFonts w:ascii="Arial" w:hAnsi="Arial" w:cs="Arial"/>
                <w:sz w:val="20"/>
                <w:szCs w:val="20"/>
                <w:lang w:val="en-US"/>
              </w:rPr>
              <w:t>Almost no grammatical, spelling, or punctuation errors.</w:t>
            </w:r>
          </w:p>
        </w:tc>
        <w:tc>
          <w:tcPr>
            <w:tcW w:w="2181" w:type="dxa"/>
          </w:tcPr>
          <w:p w14:paraId="2E15E903"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 xml:space="preserve">Some signs of logical organization of components/slides. Minimal visual appeal. </w:t>
            </w:r>
            <w:r w:rsidRPr="007665D3">
              <w:rPr>
                <w:rFonts w:ascii="Arial" w:hAnsi="Arial" w:cs="Arial"/>
                <w:sz w:val="20"/>
                <w:szCs w:val="20"/>
                <w:lang w:val="en-US"/>
              </w:rPr>
              <w:t>A few grammatical, spelling, or punctuation errors.</w:t>
            </w:r>
          </w:p>
        </w:tc>
        <w:tc>
          <w:tcPr>
            <w:tcW w:w="2017" w:type="dxa"/>
          </w:tcPr>
          <w:p w14:paraId="1998F275"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 xml:space="preserve">Unclear organization of components. Lacking visual appeal. </w:t>
            </w:r>
            <w:r w:rsidRPr="007665D3">
              <w:rPr>
                <w:rFonts w:ascii="Arial" w:eastAsiaTheme="minorEastAsia" w:hAnsi="Arial" w:cs="Arial"/>
                <w:sz w:val="20"/>
                <w:szCs w:val="20"/>
                <w:lang w:val="en-US"/>
              </w:rPr>
              <w:br/>
            </w:r>
            <w:r w:rsidRPr="007665D3">
              <w:rPr>
                <w:rFonts w:ascii="Arial" w:hAnsi="Arial" w:cs="Arial"/>
                <w:sz w:val="20"/>
                <w:szCs w:val="20"/>
                <w:lang w:val="en-US"/>
              </w:rPr>
              <w:t>Many grammatical, spelling, or punctuation errors.</w:t>
            </w:r>
          </w:p>
        </w:tc>
      </w:tr>
      <w:tr w:rsidR="007665D3" w:rsidRPr="007665D3" w14:paraId="251F062D" w14:textId="77777777" w:rsidTr="000253F5">
        <w:tc>
          <w:tcPr>
            <w:tcW w:w="1561" w:type="dxa"/>
          </w:tcPr>
          <w:p w14:paraId="04061BFB" w14:textId="77777777" w:rsidR="007665D3" w:rsidRPr="007665D3" w:rsidRDefault="007665D3" w:rsidP="007665D3">
            <w:pPr>
              <w:rPr>
                <w:rFonts w:ascii="Arial" w:eastAsiaTheme="minorEastAsia" w:hAnsi="Arial" w:cs="Arial"/>
                <w:lang w:val="en-US"/>
              </w:rPr>
            </w:pPr>
            <w:r w:rsidRPr="007665D3">
              <w:rPr>
                <w:rFonts w:ascii="Arial" w:eastAsiaTheme="minorEastAsia" w:hAnsi="Arial" w:cs="Arial"/>
                <w:b/>
                <w:lang w:val="en-US"/>
              </w:rPr>
              <w:t>APA Style</w:t>
            </w:r>
          </w:p>
        </w:tc>
        <w:tc>
          <w:tcPr>
            <w:tcW w:w="2351" w:type="dxa"/>
          </w:tcPr>
          <w:p w14:paraId="796C16AA" w14:textId="77777777" w:rsidR="007665D3" w:rsidRPr="007665D3" w:rsidRDefault="007665D3" w:rsidP="007665D3">
            <w:pPr>
              <w:rPr>
                <w:rFonts w:ascii="Arial" w:eastAsiaTheme="minorEastAsia" w:hAnsi="Arial" w:cs="Arial"/>
                <w:color w:val="FF0000"/>
                <w:sz w:val="20"/>
                <w:szCs w:val="20"/>
                <w:lang w:val="en-US"/>
              </w:rPr>
            </w:pPr>
            <w:r w:rsidRPr="007665D3">
              <w:rPr>
                <w:rFonts w:ascii="Arial" w:eastAsiaTheme="minorEastAsia" w:hAnsi="Arial" w:cs="Arial"/>
                <w:color w:val="FF0000"/>
                <w:sz w:val="20"/>
                <w:szCs w:val="20"/>
                <w:lang w:val="en-US"/>
              </w:rPr>
              <w:t>The entire document/power point follows APA style; all sources</w:t>
            </w:r>
            <w:r w:rsidRPr="007665D3">
              <w:rPr>
                <w:rFonts w:ascii="Arial" w:eastAsiaTheme="minorEastAsia" w:hAnsi="Arial" w:cs="Arial"/>
                <w:color w:val="FF0000"/>
                <w:w w:val="99"/>
                <w:sz w:val="20"/>
                <w:szCs w:val="20"/>
                <w:lang w:val="en-US"/>
              </w:rPr>
              <w:t xml:space="preserve"> </w:t>
            </w:r>
            <w:r w:rsidRPr="007665D3">
              <w:rPr>
                <w:rFonts w:ascii="Arial" w:eastAsiaTheme="minorEastAsia" w:hAnsi="Arial" w:cs="Arial"/>
                <w:color w:val="FF0000"/>
                <w:sz w:val="20"/>
                <w:szCs w:val="20"/>
                <w:lang w:val="en-US"/>
              </w:rPr>
              <w:t>are properly</w:t>
            </w:r>
            <w:r w:rsidRPr="007665D3">
              <w:rPr>
                <w:rFonts w:ascii="Arial" w:eastAsiaTheme="minorEastAsia" w:hAnsi="Arial" w:cs="Arial"/>
                <w:color w:val="FF0000"/>
                <w:w w:val="99"/>
                <w:sz w:val="20"/>
                <w:szCs w:val="20"/>
                <w:lang w:val="en-US"/>
              </w:rPr>
              <w:t xml:space="preserve"> </w:t>
            </w:r>
            <w:r w:rsidRPr="007665D3">
              <w:rPr>
                <w:rFonts w:ascii="Arial" w:eastAsiaTheme="minorEastAsia" w:hAnsi="Arial" w:cs="Arial"/>
                <w:color w:val="FF0000"/>
                <w:sz w:val="20"/>
                <w:szCs w:val="20"/>
                <w:lang w:val="en-US"/>
              </w:rPr>
              <w:t>cited in APA.</w:t>
            </w:r>
          </w:p>
        </w:tc>
        <w:tc>
          <w:tcPr>
            <w:tcW w:w="1950" w:type="dxa"/>
          </w:tcPr>
          <w:p w14:paraId="42AE7796"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t>Most of the document/power point follows APA style. Most sources</w:t>
            </w:r>
            <w:r w:rsidRPr="007665D3">
              <w:rPr>
                <w:rFonts w:ascii="Arial" w:eastAsiaTheme="minorEastAsia" w:hAnsi="Arial" w:cs="Arial"/>
                <w:w w:val="99"/>
                <w:sz w:val="20"/>
                <w:szCs w:val="20"/>
                <w:lang w:val="en-US"/>
              </w:rPr>
              <w:t xml:space="preserve"> </w:t>
            </w:r>
            <w:r w:rsidRPr="007665D3">
              <w:rPr>
                <w:rFonts w:ascii="Arial" w:eastAsiaTheme="minorEastAsia" w:hAnsi="Arial" w:cs="Arial"/>
                <w:sz w:val="20"/>
                <w:szCs w:val="20"/>
                <w:lang w:val="en-US"/>
              </w:rPr>
              <w:lastRenderedPageBreak/>
              <w:t>are cited in</w:t>
            </w:r>
            <w:r w:rsidRPr="007665D3">
              <w:rPr>
                <w:rFonts w:ascii="Arial" w:eastAsiaTheme="minorEastAsia" w:hAnsi="Arial" w:cs="Arial"/>
                <w:w w:val="99"/>
                <w:sz w:val="20"/>
                <w:szCs w:val="20"/>
                <w:lang w:val="en-US"/>
              </w:rPr>
              <w:t xml:space="preserve"> </w:t>
            </w:r>
            <w:r w:rsidRPr="007665D3">
              <w:rPr>
                <w:rFonts w:ascii="Arial" w:eastAsiaTheme="minorEastAsia" w:hAnsi="Arial" w:cs="Arial"/>
                <w:sz w:val="20"/>
                <w:szCs w:val="20"/>
                <w:lang w:val="en-US"/>
              </w:rPr>
              <w:t>APA with</w:t>
            </w:r>
            <w:r w:rsidRPr="007665D3">
              <w:rPr>
                <w:rFonts w:ascii="Arial" w:eastAsiaTheme="minorEastAsia" w:hAnsi="Arial" w:cs="Arial"/>
                <w:w w:val="99"/>
                <w:sz w:val="20"/>
                <w:szCs w:val="20"/>
                <w:lang w:val="en-US"/>
              </w:rPr>
              <w:t xml:space="preserve"> </w:t>
            </w:r>
            <w:r w:rsidRPr="007665D3">
              <w:rPr>
                <w:rFonts w:ascii="Arial" w:eastAsiaTheme="minorEastAsia" w:hAnsi="Arial" w:cs="Arial"/>
                <w:sz w:val="20"/>
                <w:szCs w:val="20"/>
                <w:lang w:val="en-US"/>
              </w:rPr>
              <w:t>few errors.</w:t>
            </w:r>
          </w:p>
        </w:tc>
        <w:tc>
          <w:tcPr>
            <w:tcW w:w="2181" w:type="dxa"/>
          </w:tcPr>
          <w:p w14:paraId="3A2E8AD6"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lastRenderedPageBreak/>
              <w:t xml:space="preserve">APA style is followed sometimes in the document/power point. Some sources </w:t>
            </w:r>
            <w:r w:rsidRPr="007665D3">
              <w:rPr>
                <w:rFonts w:ascii="Arial" w:eastAsiaTheme="minorEastAsia" w:hAnsi="Arial" w:cs="Arial"/>
                <w:sz w:val="20"/>
                <w:szCs w:val="20"/>
                <w:lang w:val="en-US"/>
              </w:rPr>
              <w:lastRenderedPageBreak/>
              <w:t>are missing (or not cited in APA).</w:t>
            </w:r>
          </w:p>
        </w:tc>
        <w:tc>
          <w:tcPr>
            <w:tcW w:w="2017" w:type="dxa"/>
          </w:tcPr>
          <w:p w14:paraId="26910950" w14:textId="77777777" w:rsidR="007665D3" w:rsidRPr="007665D3" w:rsidRDefault="007665D3" w:rsidP="007665D3">
            <w:pPr>
              <w:rPr>
                <w:rFonts w:ascii="Arial" w:eastAsiaTheme="minorEastAsia" w:hAnsi="Arial" w:cs="Arial"/>
                <w:sz w:val="20"/>
                <w:szCs w:val="20"/>
                <w:lang w:val="en-US"/>
              </w:rPr>
            </w:pPr>
            <w:r w:rsidRPr="007665D3">
              <w:rPr>
                <w:rFonts w:ascii="Arial" w:eastAsiaTheme="minorEastAsia" w:hAnsi="Arial" w:cs="Arial"/>
                <w:sz w:val="20"/>
                <w:szCs w:val="20"/>
                <w:lang w:val="en-US"/>
              </w:rPr>
              <w:lastRenderedPageBreak/>
              <w:t xml:space="preserve">APA style is followed a few times in the document/power point. No sources or </w:t>
            </w:r>
            <w:r w:rsidRPr="007665D3">
              <w:rPr>
                <w:rFonts w:ascii="Arial" w:eastAsiaTheme="minorEastAsia" w:hAnsi="Arial" w:cs="Arial"/>
                <w:sz w:val="20"/>
                <w:szCs w:val="20"/>
                <w:lang w:val="en-US"/>
              </w:rPr>
              <w:lastRenderedPageBreak/>
              <w:t>mostly not cited in APA.</w:t>
            </w:r>
          </w:p>
        </w:tc>
      </w:tr>
      <w:bookmarkEnd w:id="0"/>
    </w:tbl>
    <w:p w14:paraId="323CA418" w14:textId="77777777" w:rsidR="007665D3" w:rsidRPr="007665D3" w:rsidRDefault="007665D3" w:rsidP="007665D3">
      <w:pPr>
        <w:rPr>
          <w:rFonts w:ascii="Arial" w:eastAsiaTheme="minorEastAsia" w:hAnsi="Arial" w:cs="Arial"/>
          <w:sz w:val="20"/>
          <w:szCs w:val="20"/>
          <w:lang w:val="en-US" w:eastAsia="en-US"/>
        </w:rPr>
      </w:pPr>
    </w:p>
    <w:p w14:paraId="5B700BF4" w14:textId="239F5212" w:rsidR="007665D3" w:rsidRPr="007665D3" w:rsidRDefault="007665D3" w:rsidP="007665D3">
      <w:pPr>
        <w:spacing w:after="160" w:line="259" w:lineRule="auto"/>
        <w:rPr>
          <w:rFonts w:ascii="Arial" w:eastAsiaTheme="minorEastAsia" w:hAnsi="Arial" w:cs="Arial"/>
          <w:sz w:val="22"/>
          <w:szCs w:val="22"/>
          <w:lang w:val="en-US" w:eastAsia="en-US"/>
        </w:rPr>
      </w:pPr>
      <w:r>
        <w:rPr>
          <w:rFonts w:ascii="Arial" w:eastAsiaTheme="minorEastAsia" w:hAnsi="Arial" w:cs="Arial"/>
          <w:sz w:val="22"/>
          <w:szCs w:val="22"/>
          <w:lang w:val="en-US" w:eastAsia="en-US"/>
        </w:rPr>
        <w:t>19</w:t>
      </w:r>
      <w:r w:rsidRPr="007665D3">
        <w:rPr>
          <w:rFonts w:ascii="Arial" w:eastAsiaTheme="minorEastAsia" w:hAnsi="Arial" w:cs="Arial"/>
          <w:sz w:val="22"/>
          <w:szCs w:val="22"/>
          <w:lang w:val="en-US" w:eastAsia="en-US"/>
        </w:rPr>
        <w:t>/20</w:t>
      </w:r>
    </w:p>
    <w:p w14:paraId="6DFC7574" w14:textId="7E52BA9A" w:rsidR="007665D3" w:rsidRPr="007665D3" w:rsidRDefault="007665D3" w:rsidP="007665D3">
      <w:pPr>
        <w:spacing w:after="160" w:line="259" w:lineRule="auto"/>
        <w:rPr>
          <w:rFonts w:ascii="Arial" w:eastAsiaTheme="minorEastAsia" w:hAnsi="Arial" w:cs="Arial"/>
          <w:sz w:val="22"/>
          <w:szCs w:val="22"/>
          <w:lang w:val="en-US" w:eastAsia="en-US"/>
        </w:rPr>
      </w:pPr>
      <w:r w:rsidRPr="007665D3">
        <w:rPr>
          <w:rFonts w:ascii="Arial" w:eastAsiaTheme="minorEastAsia" w:hAnsi="Arial" w:cs="Arial"/>
          <w:sz w:val="22"/>
          <w:szCs w:val="22"/>
          <w:lang w:val="en-US" w:eastAsia="en-US"/>
        </w:rPr>
        <w:t xml:space="preserve"> Well done! You’ve read the text and have a clear understanding of calculating the pay range based on a pay policy</w:t>
      </w:r>
      <w:r>
        <w:rPr>
          <w:rFonts w:ascii="Arial" w:eastAsiaTheme="minorEastAsia" w:hAnsi="Arial" w:cs="Arial"/>
          <w:sz w:val="22"/>
          <w:szCs w:val="22"/>
          <w:lang w:val="en-US" w:eastAsia="en-US"/>
        </w:rPr>
        <w:t>. The</w:t>
      </w:r>
      <w:r w:rsidRPr="007665D3">
        <w:rPr>
          <w:rFonts w:ascii="Arial" w:eastAsiaTheme="minorEastAsia" w:hAnsi="Arial" w:cs="Arial"/>
          <w:sz w:val="22"/>
          <w:szCs w:val="22"/>
          <w:lang w:val="en-US" w:eastAsia="en-US"/>
        </w:rPr>
        <w:t xml:space="preserve"> implications of overlapping pay bands as they relate to employee motivation</w:t>
      </w:r>
      <w:r>
        <w:rPr>
          <w:rFonts w:ascii="Arial" w:eastAsiaTheme="minorEastAsia" w:hAnsi="Arial" w:cs="Arial"/>
          <w:sz w:val="22"/>
          <w:szCs w:val="22"/>
          <w:lang w:val="en-US" w:eastAsia="en-US"/>
        </w:rPr>
        <w:t xml:space="preserve"> need a bit more clarity:</w:t>
      </w:r>
      <w:bookmarkStart w:id="3" w:name="_Hlk97232693"/>
      <w:bookmarkEnd w:id="1"/>
    </w:p>
    <w:bookmarkEnd w:id="3"/>
    <w:p w14:paraId="0932D376" w14:textId="0CAA792F" w:rsidR="007665D3" w:rsidRPr="007665D3" w:rsidRDefault="007665D3" w:rsidP="007665D3">
      <w:pPr>
        <w:rPr>
          <w:rFonts w:ascii="Arial" w:eastAsiaTheme="minorEastAsia" w:hAnsi="Arial" w:cs="Arial"/>
          <w:sz w:val="22"/>
          <w:szCs w:val="22"/>
          <w:lang w:val="en-US" w:eastAsia="en-US"/>
        </w:rPr>
      </w:pPr>
      <w:r w:rsidRPr="007665D3">
        <w:rPr>
          <w:rFonts w:ascii="Arial" w:eastAsiaTheme="minorEastAsia" w:hAnsi="Arial" w:cs="Arial"/>
          <w:sz w:val="22"/>
          <w:szCs w:val="22"/>
          <w:lang w:val="en-US" w:eastAsia="en-US"/>
        </w:rPr>
        <w:t xml:space="preserve">The pay structure </w:t>
      </w:r>
      <w:r>
        <w:rPr>
          <w:rFonts w:ascii="Arial" w:eastAsiaTheme="minorEastAsia" w:hAnsi="Arial" w:cs="Arial"/>
          <w:sz w:val="22"/>
          <w:szCs w:val="22"/>
          <w:lang w:val="en-US" w:eastAsia="en-US"/>
        </w:rPr>
        <w:t>is</w:t>
      </w:r>
      <w:r w:rsidRPr="007665D3">
        <w:rPr>
          <w:rFonts w:ascii="Arial" w:eastAsiaTheme="minorEastAsia" w:hAnsi="Arial" w:cs="Arial"/>
          <w:sz w:val="22"/>
          <w:szCs w:val="22"/>
          <w:lang w:val="en-US" w:eastAsia="en-US"/>
        </w:rPr>
        <w:t xml:space="preserve"> reasonable</w:t>
      </w:r>
      <w:r>
        <w:rPr>
          <w:rFonts w:ascii="Arial" w:eastAsiaTheme="minorEastAsia" w:hAnsi="Arial" w:cs="Arial"/>
          <w:sz w:val="22"/>
          <w:szCs w:val="22"/>
          <w:lang w:val="en-US" w:eastAsia="en-US"/>
        </w:rPr>
        <w:t xml:space="preserve"> (but not perfect)</w:t>
      </w:r>
      <w:r w:rsidRPr="007665D3">
        <w:rPr>
          <w:rFonts w:ascii="Arial" w:eastAsiaTheme="minorEastAsia" w:hAnsi="Arial" w:cs="Arial"/>
          <w:sz w:val="22"/>
          <w:szCs w:val="22"/>
          <w:lang w:val="en-US" w:eastAsia="en-US"/>
        </w:rPr>
        <w:t xml:space="preserve">. Top-level management positions commonly have ranges 30% to 60% above and below the midpoint; entry to mid-level professional and managerial positions, between 15% and 30% office and production work, 5% to 15%.” Obviously, there is no overlap between Pay Grade 1 and Pay Grade 2. However, there is overlap between Pay Grade 2 and Pay Grade 3 – the maximum of Pay Grade 2 is $51,885.07 and the minimum of Pay Grade 3 is $46,509.96. Likewise, there is overlap, but a greater overlap, between Pay Grade 3 and Pay Grade 4.  This falls in line with this pay structure, as the pay grades are within the above ranges, </w:t>
      </w:r>
      <w:proofErr w:type="gramStart"/>
      <w:r w:rsidRPr="007665D3">
        <w:rPr>
          <w:rFonts w:ascii="Arial" w:eastAsiaTheme="minorEastAsia" w:hAnsi="Arial" w:cs="Arial"/>
          <w:sz w:val="22"/>
          <w:szCs w:val="22"/>
          <w:lang w:val="en-US" w:eastAsia="en-US"/>
        </w:rPr>
        <w:t>with the exception of</w:t>
      </w:r>
      <w:proofErr w:type="gramEnd"/>
      <w:r w:rsidRPr="007665D3">
        <w:rPr>
          <w:rFonts w:ascii="Arial" w:eastAsiaTheme="minorEastAsia" w:hAnsi="Arial" w:cs="Arial"/>
          <w:sz w:val="22"/>
          <w:szCs w:val="22"/>
          <w:lang w:val="en-US" w:eastAsia="en-US"/>
        </w:rPr>
        <w:t xml:space="preserve"> pay range 4 being 25% instead of between 30% and 60%. Furthermore, these pay ranges need to have large enough gaps to encourage employee development and promotions, which it does. Additionally, there is some small overlap between certain pay grades</w:t>
      </w:r>
      <w:r w:rsidR="008462A0">
        <w:rPr>
          <w:rFonts w:ascii="Arial" w:eastAsiaTheme="minorEastAsia" w:hAnsi="Arial" w:cs="Arial"/>
          <w:sz w:val="22"/>
          <w:szCs w:val="22"/>
          <w:lang w:val="en-US" w:eastAsia="en-US"/>
        </w:rPr>
        <w:t>,</w:t>
      </w:r>
      <w:r w:rsidRPr="007665D3">
        <w:rPr>
          <w:rFonts w:ascii="Arial" w:eastAsiaTheme="minorEastAsia" w:hAnsi="Arial" w:cs="Arial"/>
          <w:sz w:val="22"/>
          <w:szCs w:val="22"/>
          <w:lang w:val="en-US" w:eastAsia="en-US"/>
        </w:rPr>
        <w:t xml:space="preserve"> which is beneficial as it allows “managers to reinforce a promotion into a new grade with a larger pay increase. The pay structure will likely be quite effective in motivating employees who are motivated by money and the perceived status associated with a higher pay grade. </w:t>
      </w:r>
      <w:proofErr w:type="gramStart"/>
      <w:r w:rsidRPr="007665D3">
        <w:rPr>
          <w:rFonts w:ascii="Arial" w:eastAsiaTheme="minorEastAsia" w:hAnsi="Arial" w:cs="Arial"/>
          <w:sz w:val="22"/>
          <w:szCs w:val="22"/>
          <w:lang w:val="en-US" w:eastAsia="en-US"/>
        </w:rPr>
        <w:t>It is clear that for</w:t>
      </w:r>
      <w:proofErr w:type="gramEnd"/>
      <w:r w:rsidRPr="007665D3">
        <w:rPr>
          <w:rFonts w:ascii="Arial" w:eastAsiaTheme="minorEastAsia" w:hAnsi="Arial" w:cs="Arial"/>
          <w:sz w:val="22"/>
          <w:szCs w:val="22"/>
          <w:lang w:val="en-US" w:eastAsia="en-US"/>
        </w:rPr>
        <w:t xml:space="preserve"> one who wants to make a lot of money in this organization then moving up in pay grades will be quite important and motivating.</w:t>
      </w:r>
    </w:p>
    <w:p w14:paraId="7DE71421" w14:textId="77777777" w:rsidR="007665D3" w:rsidRPr="007665D3" w:rsidRDefault="007665D3" w:rsidP="007665D3">
      <w:pPr>
        <w:rPr>
          <w:rFonts w:ascii="Arial" w:eastAsiaTheme="minorEastAsia" w:hAnsi="Arial" w:cs="Arial"/>
          <w:sz w:val="22"/>
          <w:szCs w:val="22"/>
          <w:lang w:val="en-US" w:eastAsia="en-US"/>
        </w:rPr>
      </w:pPr>
    </w:p>
    <w:p w14:paraId="24FC3405" w14:textId="77777777" w:rsidR="007665D3" w:rsidRPr="007665D3" w:rsidRDefault="007665D3" w:rsidP="007665D3">
      <w:pPr>
        <w:ind w:firstLine="720"/>
        <w:rPr>
          <w:rFonts w:ascii="Arial" w:eastAsiaTheme="minorEastAsia" w:hAnsi="Arial" w:cs="Arial"/>
          <w:sz w:val="22"/>
          <w:szCs w:val="22"/>
          <w:lang w:val="en-US" w:eastAsia="en-US"/>
        </w:rPr>
      </w:pPr>
    </w:p>
    <w:p w14:paraId="7A646B5F" w14:textId="77777777" w:rsidR="007665D3" w:rsidRPr="007665D3" w:rsidRDefault="007665D3" w:rsidP="007665D3">
      <w:pPr>
        <w:rPr>
          <w:rFonts w:ascii="Arial" w:eastAsiaTheme="minorEastAsia" w:hAnsi="Arial" w:cs="Arial"/>
          <w:sz w:val="22"/>
          <w:szCs w:val="22"/>
          <w:lang w:val="en-US" w:eastAsia="en-US"/>
        </w:rPr>
      </w:pPr>
    </w:p>
    <w:bookmarkEnd w:id="2"/>
    <w:p w14:paraId="79780741" w14:textId="77777777" w:rsidR="007665D3" w:rsidRPr="007665D3" w:rsidRDefault="007665D3" w:rsidP="007665D3">
      <w:pPr>
        <w:rPr>
          <w:rFonts w:ascii="Arial" w:eastAsiaTheme="minorEastAsia" w:hAnsi="Arial" w:cs="Arial"/>
          <w:sz w:val="22"/>
          <w:szCs w:val="22"/>
          <w:lang w:val="en-US" w:eastAsia="en-US"/>
        </w:rPr>
      </w:pPr>
    </w:p>
    <w:p w14:paraId="7697B595" w14:textId="351DFCE8" w:rsidR="005E3578" w:rsidRPr="007665D3" w:rsidRDefault="005E3578" w:rsidP="00B165D3">
      <w:pPr>
        <w:spacing w:line="480" w:lineRule="auto"/>
        <w:ind w:firstLine="720"/>
        <w:rPr>
          <w:rFonts w:ascii="Arial" w:eastAsiaTheme="minorEastAsia" w:hAnsi="Arial" w:cs="Arial"/>
          <w:sz w:val="22"/>
          <w:szCs w:val="22"/>
          <w:lang w:val="en-US" w:eastAsia="en-US"/>
        </w:rPr>
      </w:pPr>
    </w:p>
    <w:p w14:paraId="5A7C19C9" w14:textId="4C6AFE94" w:rsidR="005E3578" w:rsidRPr="007665D3" w:rsidRDefault="005E3578" w:rsidP="00B165D3">
      <w:pPr>
        <w:spacing w:line="480" w:lineRule="auto"/>
        <w:ind w:firstLine="720"/>
        <w:rPr>
          <w:rFonts w:ascii="Arial" w:eastAsiaTheme="minorEastAsia" w:hAnsi="Arial" w:cs="Arial"/>
          <w:sz w:val="22"/>
          <w:szCs w:val="22"/>
          <w:lang w:val="en-US" w:eastAsia="en-US"/>
        </w:rPr>
      </w:pPr>
    </w:p>
    <w:sectPr w:rsidR="005E3578" w:rsidRPr="00766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93114"/>
    <w:multiLevelType w:val="hybridMultilevel"/>
    <w:tmpl w:val="A5B0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24DF2"/>
    <w:multiLevelType w:val="hybridMultilevel"/>
    <w:tmpl w:val="F212404E"/>
    <w:lvl w:ilvl="0" w:tplc="063692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47"/>
    <w:rsid w:val="00071E49"/>
    <w:rsid w:val="00073C4D"/>
    <w:rsid w:val="000963AD"/>
    <w:rsid w:val="001065F3"/>
    <w:rsid w:val="001159BE"/>
    <w:rsid w:val="00121DE5"/>
    <w:rsid w:val="00130FE4"/>
    <w:rsid w:val="001341E5"/>
    <w:rsid w:val="001B3685"/>
    <w:rsid w:val="001C6A7D"/>
    <w:rsid w:val="0025579C"/>
    <w:rsid w:val="00291F31"/>
    <w:rsid w:val="002B12F1"/>
    <w:rsid w:val="002B3CA8"/>
    <w:rsid w:val="002B4DB3"/>
    <w:rsid w:val="002D032A"/>
    <w:rsid w:val="002F48C3"/>
    <w:rsid w:val="0031175D"/>
    <w:rsid w:val="003352DA"/>
    <w:rsid w:val="0036208F"/>
    <w:rsid w:val="00364B27"/>
    <w:rsid w:val="0036617B"/>
    <w:rsid w:val="00392CDA"/>
    <w:rsid w:val="003930B2"/>
    <w:rsid w:val="003A4B05"/>
    <w:rsid w:val="003B133A"/>
    <w:rsid w:val="003F770B"/>
    <w:rsid w:val="0043455B"/>
    <w:rsid w:val="00445055"/>
    <w:rsid w:val="004567C9"/>
    <w:rsid w:val="004E4BAD"/>
    <w:rsid w:val="00564CA7"/>
    <w:rsid w:val="005944E3"/>
    <w:rsid w:val="00596019"/>
    <w:rsid w:val="005B5142"/>
    <w:rsid w:val="005D15DC"/>
    <w:rsid w:val="005D309D"/>
    <w:rsid w:val="005D5786"/>
    <w:rsid w:val="005E3578"/>
    <w:rsid w:val="005F77A1"/>
    <w:rsid w:val="00636CE0"/>
    <w:rsid w:val="00655CD1"/>
    <w:rsid w:val="006609B5"/>
    <w:rsid w:val="006849E0"/>
    <w:rsid w:val="00691185"/>
    <w:rsid w:val="006969AF"/>
    <w:rsid w:val="007427D8"/>
    <w:rsid w:val="007643E5"/>
    <w:rsid w:val="007665D3"/>
    <w:rsid w:val="007A6747"/>
    <w:rsid w:val="007D0E66"/>
    <w:rsid w:val="007D68CD"/>
    <w:rsid w:val="00824022"/>
    <w:rsid w:val="008462A0"/>
    <w:rsid w:val="00891D40"/>
    <w:rsid w:val="008D1810"/>
    <w:rsid w:val="008F7717"/>
    <w:rsid w:val="009261E8"/>
    <w:rsid w:val="0096074B"/>
    <w:rsid w:val="009969ED"/>
    <w:rsid w:val="009C0A5E"/>
    <w:rsid w:val="009D3DCA"/>
    <w:rsid w:val="00A1104E"/>
    <w:rsid w:val="00A12346"/>
    <w:rsid w:val="00A62AFB"/>
    <w:rsid w:val="00B165D3"/>
    <w:rsid w:val="00BB36F8"/>
    <w:rsid w:val="00BC6A59"/>
    <w:rsid w:val="00BD225F"/>
    <w:rsid w:val="00BE5E47"/>
    <w:rsid w:val="00C972A5"/>
    <w:rsid w:val="00CB0057"/>
    <w:rsid w:val="00CB30A3"/>
    <w:rsid w:val="00CC2F4D"/>
    <w:rsid w:val="00CC38F4"/>
    <w:rsid w:val="00CF28F4"/>
    <w:rsid w:val="00D05875"/>
    <w:rsid w:val="00D32F83"/>
    <w:rsid w:val="00D34C08"/>
    <w:rsid w:val="00D9552B"/>
    <w:rsid w:val="00DC6FA0"/>
    <w:rsid w:val="00E00D4A"/>
    <w:rsid w:val="00E41A9B"/>
    <w:rsid w:val="00EA0A1F"/>
    <w:rsid w:val="00EB72AD"/>
    <w:rsid w:val="00EE3736"/>
    <w:rsid w:val="00F4065B"/>
    <w:rsid w:val="00FB69ED"/>
    <w:rsid w:val="00FD0745"/>
    <w:rsid w:val="00FE08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B990"/>
  <w15:chartTrackingRefBased/>
  <w15:docId w15:val="{5921127D-E327-1842-AA5D-C0468AFC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B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747"/>
    <w:rPr>
      <w:color w:val="808080"/>
    </w:rPr>
  </w:style>
  <w:style w:type="paragraph" w:styleId="ListParagraph">
    <w:name w:val="List Paragraph"/>
    <w:basedOn w:val="Normal"/>
    <w:uiPriority w:val="34"/>
    <w:qFormat/>
    <w:rsid w:val="005B5142"/>
    <w:pPr>
      <w:ind w:left="720"/>
      <w:contextualSpacing/>
    </w:pPr>
  </w:style>
  <w:style w:type="character" w:styleId="CommentReference">
    <w:name w:val="annotation reference"/>
    <w:basedOn w:val="DefaultParagraphFont"/>
    <w:uiPriority w:val="99"/>
    <w:semiHidden/>
    <w:unhideWhenUsed/>
    <w:rsid w:val="00C972A5"/>
    <w:rPr>
      <w:sz w:val="16"/>
      <w:szCs w:val="16"/>
    </w:rPr>
  </w:style>
  <w:style w:type="paragraph" w:styleId="CommentText">
    <w:name w:val="annotation text"/>
    <w:basedOn w:val="Normal"/>
    <w:link w:val="CommentTextChar"/>
    <w:uiPriority w:val="99"/>
    <w:semiHidden/>
    <w:unhideWhenUsed/>
    <w:rsid w:val="00C972A5"/>
    <w:rPr>
      <w:sz w:val="20"/>
      <w:szCs w:val="20"/>
    </w:rPr>
  </w:style>
  <w:style w:type="character" w:customStyle="1" w:styleId="CommentTextChar">
    <w:name w:val="Comment Text Char"/>
    <w:basedOn w:val="DefaultParagraphFont"/>
    <w:link w:val="CommentText"/>
    <w:uiPriority w:val="99"/>
    <w:semiHidden/>
    <w:rsid w:val="00C972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2A5"/>
    <w:rPr>
      <w:b/>
      <w:bCs/>
    </w:rPr>
  </w:style>
  <w:style w:type="character" w:customStyle="1" w:styleId="CommentSubjectChar">
    <w:name w:val="Comment Subject Char"/>
    <w:basedOn w:val="CommentTextChar"/>
    <w:link w:val="CommentSubject"/>
    <w:uiPriority w:val="99"/>
    <w:semiHidden/>
    <w:rsid w:val="00C972A5"/>
    <w:rPr>
      <w:rFonts w:ascii="Times New Roman" w:eastAsia="Times New Roman" w:hAnsi="Times New Roman" w:cs="Times New Roman"/>
      <w:b/>
      <w:bCs/>
      <w:sz w:val="20"/>
      <w:szCs w:val="20"/>
    </w:rPr>
  </w:style>
  <w:style w:type="table" w:styleId="TableGrid">
    <w:name w:val="Table Grid"/>
    <w:basedOn w:val="TableNormal"/>
    <w:uiPriority w:val="39"/>
    <w:rsid w:val="007665D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2020">
      <w:bodyDiv w:val="1"/>
      <w:marLeft w:val="0"/>
      <w:marRight w:val="0"/>
      <w:marTop w:val="0"/>
      <w:marBottom w:val="0"/>
      <w:divBdr>
        <w:top w:val="none" w:sz="0" w:space="0" w:color="auto"/>
        <w:left w:val="none" w:sz="0" w:space="0" w:color="auto"/>
        <w:bottom w:val="none" w:sz="0" w:space="0" w:color="auto"/>
        <w:right w:val="none" w:sz="0" w:space="0" w:color="auto"/>
      </w:divBdr>
    </w:div>
    <w:div w:id="691684104">
      <w:bodyDiv w:val="1"/>
      <w:marLeft w:val="0"/>
      <w:marRight w:val="0"/>
      <w:marTop w:val="0"/>
      <w:marBottom w:val="0"/>
      <w:divBdr>
        <w:top w:val="none" w:sz="0" w:space="0" w:color="auto"/>
        <w:left w:val="none" w:sz="0" w:space="0" w:color="auto"/>
        <w:bottom w:val="none" w:sz="0" w:space="0" w:color="auto"/>
        <w:right w:val="none" w:sz="0" w:space="0" w:color="auto"/>
      </w:divBdr>
    </w:div>
    <w:div w:id="926429314">
      <w:bodyDiv w:val="1"/>
      <w:marLeft w:val="0"/>
      <w:marRight w:val="0"/>
      <w:marTop w:val="0"/>
      <w:marBottom w:val="0"/>
      <w:divBdr>
        <w:top w:val="none" w:sz="0" w:space="0" w:color="auto"/>
        <w:left w:val="none" w:sz="0" w:space="0" w:color="auto"/>
        <w:bottom w:val="none" w:sz="0" w:space="0" w:color="auto"/>
        <w:right w:val="none" w:sz="0" w:space="0" w:color="auto"/>
      </w:divBdr>
    </w:div>
    <w:div w:id="1348093326">
      <w:bodyDiv w:val="1"/>
      <w:marLeft w:val="0"/>
      <w:marRight w:val="0"/>
      <w:marTop w:val="0"/>
      <w:marBottom w:val="0"/>
      <w:divBdr>
        <w:top w:val="none" w:sz="0" w:space="0" w:color="auto"/>
        <w:left w:val="none" w:sz="0" w:space="0" w:color="auto"/>
        <w:bottom w:val="none" w:sz="0" w:space="0" w:color="auto"/>
        <w:right w:val="none" w:sz="0" w:space="0" w:color="auto"/>
      </w:divBdr>
    </w:div>
    <w:div w:id="14528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Vei</dc:creator>
  <cp:keywords/>
  <dc:description/>
  <cp:lastModifiedBy>Mike Farrier</cp:lastModifiedBy>
  <cp:revision>3</cp:revision>
  <dcterms:created xsi:type="dcterms:W3CDTF">2022-03-04T23:05:00Z</dcterms:created>
  <dcterms:modified xsi:type="dcterms:W3CDTF">2022-03-07T02:25:00Z</dcterms:modified>
</cp:coreProperties>
</file>