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F3864"/>
          <w:sz w:val="52"/>
          <w:szCs w:val="52"/>
        </w:rPr>
        <w:t xml:space="preserve">OV-CIL-PCB Framework v2</w:t>
      </w:r>
    </w:p>
    <w:p>
      <w:pPr>
        <w:spacing w:after="300"/>
        <w:jc w:val="center"/>
      </w:pPr>
      <w:r>
        <w:rPr>
          <w:rFonts w:ascii="Arial" w:cs="Arial" w:eastAsia="Arial" w:hAnsi="Arial"/>
          <w:color w:val="2E4B7A"/>
          <w:sz w:val="28"/>
          <w:szCs w:val="28"/>
        </w:rPr>
        <w:t xml:space="preserve">Updated Architecture Design and Research Reference Guide</w:t>
      </w:r>
    </w:p>
    <w:p>
      <w:pPr>
        <w:spacing w:after="120"/>
        <w:jc w:val="center"/>
      </w:pPr>
      <w:r>
        <w:rPr>
          <w:rFonts w:ascii="Arial" w:cs="Arial" w:eastAsia="Arial" w:hAnsi="Arial"/>
          <w:i/>
          <w:iCs/>
          <w:color w:val="555555"/>
          <w:sz w:val="22"/>
          <w:szCs w:val="22"/>
        </w:rPr>
        <w:t xml:space="preserve">Open-Vocabulary Continual Learning Framework for</w:t>
      </w:r>
    </w:p>
    <w:p>
      <w:pPr>
        <w:spacing w:after="600"/>
        <w:jc w:val="center"/>
      </w:pPr>
      <w:r>
        <w:rPr>
          <w:rFonts w:ascii="Arial" w:cs="Arial" w:eastAsia="Arial" w:hAnsi="Arial"/>
          <w:i/>
          <w:iCs/>
          <w:color w:val="555555"/>
          <w:sz w:val="22"/>
          <w:szCs w:val="22"/>
        </w:rPr>
        <w:t xml:space="preserve">Domain-Adaptive PCB Defect Detection</w:t>
      </w:r>
    </w:p>
    <w:p>
      <w:pPr>
        <w:spacing w:after="80"/>
        <w:jc w:val="center"/>
      </w:pPr>
      <w:r>
        <w:rPr>
          <w:rFonts w:ascii="Arial" w:cs="Arial" w:eastAsia="Arial" w:hAnsi="Arial"/>
          <w:color w:val="666666"/>
          <w:sz w:val="20"/>
          <w:szCs w:val="20"/>
        </w:rPr>
        <w:t xml:space="preserve">Prepared as an offline study reference for PhD research</w:t>
      </w:r>
    </w:p>
    <w:p>
      <w:pPr>
        <w:jc w:val="center"/>
      </w:pPr>
      <w:r>
        <w:rPr>
          <w:rFonts w:ascii="Arial" w:cs="Arial" w:eastAsia="Arial" w:hAnsi="Arial"/>
          <w:color w:val="666666"/>
          <w:sz w:val="20"/>
          <w:szCs w:val="20"/>
        </w:rPr>
        <w:t xml:space="preserve">August 2026</w:t>
      </w:r>
    </w:p>
    <w:p>
      <w:r>
        <w:br w:type="page"/>
      </w:r>
    </w:p>
    <w:p>
      <w:pPr>
        <w:pStyle w:val="Heading1"/>
        <w:spacing w:after="160" w:before="360"/>
      </w:pPr>
      <w:r>
        <w:rPr>
          <w:rFonts w:ascii="Arial" w:cs="Arial" w:eastAsia="Arial" w:hAnsi="Arial"/>
          <w:b/>
          <w:bCs/>
          <w:color w:val="1F3864"/>
          <w:sz w:val="30"/>
          <w:szCs w:val="30"/>
        </w:rPr>
        <w:t xml:space="preserve">1. Executive Summary</w:t>
      </w:r>
    </w:p>
    <w:p>
      <w:pPr>
        <w:spacing w:after="120" w:line="276"/>
        <w:jc w:val="both"/>
      </w:pPr>
      <w:r>
        <w:rPr>
          <w:rFonts w:ascii="Arial" w:cs="Arial" w:eastAsia="Arial" w:hAnsi="Arial"/>
          <w:sz w:val="20"/>
          <w:szCs w:val="20"/>
        </w:rPr>
        <w:t xml:space="preserve">This document consolidates the latest research landscape (2025–2026) at the intersection of open-vocabulary detection and continual learning, evaluates how it affects the OV-CIL-PCB framework designed in earlier semesters, and specifies the concrete architectural changes required to keep the PhD contribution novel and publishable. It is written to be studied offline: every claim is tied to a numbered reference in Section 10, with arXiv identifiers where available so papers can be downloaded in advance.</w:t>
      </w:r>
    </w:p>
    <w:p>
      <w:pPr>
        <w:spacing w:after="120" w:line="276"/>
        <w:jc w:val="both"/>
      </w:pPr>
      <w:r>
        <w:rPr>
          <w:rFonts w:ascii="Arial" w:cs="Arial" w:eastAsia="Arial" w:hAnsi="Arial"/>
          <w:sz w:val="20"/>
          <w:szCs w:val="20"/>
        </w:rPr>
        <w:t xml:space="preserve">The single most important finding is that the research problem this PhD addresses has now been formally named and studied by the community. It appears in the literature as Incremental Vision-Language Object Detection (IVLOD) and, most recently, as Continual Open-Vocabulary Object Detection (COVD). Two works matter most: DitHub (NeurIPS 2025) [1], which introduced a modular LoRA-based adaptation library for incremental open-vocabulary detection, and COVD (2026) [2], which formalised the problem setting and critiqued existing adaptation strategies. Neither addresses industrial defect detection, domain-incremental board designs, real-time edge deployment, or privacy compliance — which is exactly where this PhD retains and strengthens its novelty.</w:t>
      </w:r>
    </w:p>
    <w:p>
      <w:pPr>
        <w:spacing w:after="120" w:line="276"/>
        <w:jc w:val="both"/>
      </w:pPr>
      <w:r>
        <w:rPr>
          <w:rFonts w:ascii="Arial" w:cs="Arial" w:eastAsia="Arial" w:hAnsi="Arial"/>
          <w:sz w:val="20"/>
          <w:szCs w:val="20"/>
        </w:rPr>
        <w:t xml:space="preserve">Three design decisions follow from this analysis. First, the per-task bottleneck adapters in the original OV-CIL-PCB design are replaced with LoRA (Low-Rank Adaptation) modules, aligning with the field standard and unlocking two critical capabilities: module merging (zero inference overhead) and module subtraction (unlearning). Second, a privacy-driven unlearning mechanism is added as a first-class framework component: when NDA obligations require removing a customer’s data influence, the corresponding LoRA modules are mathematically subtracted from the model instead of retraining from scratch. Third, the framework is repositioned as domain-incremental modularity on industrial data — modules are organised per board design (the frequent real-world change) rather than per class (the rare change), directly differentiating from DitHub and COVD which increment over object categories on natural images.</w:t>
      </w:r>
    </w:p>
    <w:p>
      <w:pPr>
        <w:spacing w:after="120" w:line="276"/>
        <w:jc w:val="both"/>
      </w:pPr>
      <w:r>
        <w:rPr>
          <w:rFonts w:ascii="Arial" w:cs="Arial" w:eastAsia="Arial" w:hAnsi="Arial"/>
          <w:sz w:val="20"/>
          <w:szCs w:val="20"/>
        </w:rPr>
        <w:t xml:space="preserve">What does not change: the YOLOE-26s base model (its CNN backbone and real-time edge deployability remain a differentiator against the Grounding DINO and LLMDet bases used by competitors), the frozen-backbone strategy, the three-level zero-shot / few-shot / full-continual pipeline, the privacy masking pre-processing analysis (Approach A/B) from the May 2026 semester, the SLCA slow-learning and embedding distillation anti-forgetting mechanisms, and the three-dimensional evaluation plan. The changes are targeted and additive; most prior work carries forward.</w:t>
      </w:r>
    </w:p>
    <w:p>
      <w:pPr>
        <w:pStyle w:val="Heading1"/>
        <w:spacing w:after="160" w:before="360"/>
      </w:pPr>
      <w:r>
        <w:rPr>
          <w:rFonts w:ascii="Arial" w:cs="Arial" w:eastAsia="Arial" w:hAnsi="Arial"/>
          <w:b/>
          <w:bCs/>
          <w:color w:val="1F3864"/>
          <w:sz w:val="30"/>
          <w:szCs w:val="30"/>
        </w:rPr>
        <w:t xml:space="preserve">2. The Updated Research Landscape (2025–2026)</w:t>
      </w:r>
    </w:p>
    <w:p>
      <w:pPr>
        <w:pStyle w:val="Heading2"/>
        <w:spacing w:after="120" w:before="280"/>
      </w:pPr>
      <w:r>
        <w:rPr>
          <w:rFonts w:ascii="Arial" w:cs="Arial" w:eastAsia="Arial" w:hAnsi="Arial"/>
          <w:b/>
          <w:bCs/>
          <w:color w:val="2E4B7A"/>
          <w:sz w:val="24"/>
          <w:szCs w:val="24"/>
        </w:rPr>
        <w:t xml:space="preserve">2.1 The problem now has a name: IVLOD / COVD</w:t>
      </w:r>
    </w:p>
    <w:p>
      <w:pPr>
        <w:spacing w:after="120" w:line="276"/>
        <w:jc w:val="both"/>
      </w:pPr>
      <w:r>
        <w:rPr>
          <w:rFonts w:ascii="Arial" w:cs="Arial" w:eastAsia="Arial" w:hAnsi="Arial"/>
          <w:sz w:val="20"/>
          <w:szCs w:val="20"/>
        </w:rPr>
        <w:t xml:space="preserve">When this PhD began, combining open-vocabulary detection with continual learning for defect detection was an unclaimed intersection. During 2025–2026 the community converged on this exact problem. DitHub [1] refers to it as Incremental Vision-Language Object Detection (IVLOD); the 2026 COVD paper [2] names it Continual Open-Vocabulary Object Detection and gives it a formal definition: starting from a pre-trained open-vocabulary detector, the model sequentially learns a series of disjoint novel concept sets across T tasks, each with its own detection annotations. This formalisation matches the OV-CIL-PCB problem statement almost exactly, which is both a validation (the problem is recognised as important at top venues) and a competitive pressure (the general-domain version is being solved by well-resourced groups). The strategic response is not to compete head-on in the general domain, but to own the industrial, domain-incremental, privacy-constrained variant that these works do not touch.</w:t>
      </w:r>
    </w:p>
    <w:p>
      <w:pPr>
        <w:pStyle w:val="Heading2"/>
        <w:spacing w:after="120" w:before="280"/>
      </w:pPr>
      <w:r>
        <w:rPr>
          <w:rFonts w:ascii="Arial" w:cs="Arial" w:eastAsia="Arial" w:hAnsi="Arial"/>
          <w:b/>
          <w:bCs/>
          <w:color w:val="2E4B7A"/>
          <w:sz w:val="24"/>
          <w:szCs w:val="24"/>
        </w:rPr>
        <w:t xml:space="preserve">2.2 DitHub (NeurIPS 2025) — the closest competitor, studied in depth</w:t>
      </w:r>
    </w:p>
    <w:p>
      <w:pPr>
        <w:spacing w:after="120" w:line="276"/>
        <w:jc w:val="both"/>
      </w:pPr>
      <w:r>
        <w:rPr>
          <w:rFonts w:ascii="Arial" w:cs="Arial" w:eastAsia="Arial" w:hAnsi="Arial"/>
          <w:sz w:val="20"/>
          <w:szCs w:val="20"/>
        </w:rPr>
        <w:t xml:space="preserve">DitHub [1] is the most important paper to study before next semester. Its core idea is modular deep learning applied to incremental open-vocabulary detection: instead of adapting the detector with a single monolithic set of weights, it builds and maintains a library of small, efficient adaptation modules — one per class — managed with a workflow explicitly inspired by version control systems. Modules behave like branches: they are created, specialised, fetched, and merged as needed.</w:t>
      </w:r>
    </w:p>
    <w:p>
      <w:pPr>
        <w:spacing w:after="120" w:line="276"/>
        <w:jc w:val="both"/>
      </w:pPr>
      <w:r>
        <w:rPr>
          <w:rFonts w:ascii="Arial" w:cs="Arial" w:eastAsia="Arial" w:hAnsi="Arial"/>
          <w:sz w:val="20"/>
          <w:szCs w:val="20"/>
        </w:rPr>
        <w:t xml:space="preserve">The mechanics work as follows. When a new task (a group of new categories) arrives, DitHub initialises an efficient LoRA module and first trains it in a warmup phase across all classes of the task, establishing a class-agnostic foundation. The module then branches into class-specific modules that specialise for individual categories. At inference or when classes reappear in later tasks, the relevant class modules are fetched from the library and merged into the base model. This design achieved state-of-the-art on the ODinW-13 benchmark and on ODinW-O, a benchmark variant the authors introduced specifically to test class reappearance across tasks. The base detector is Grounding DINO, a transformer-based open-vocabulary detector.</w:t>
      </w:r>
    </w:p>
    <w:p>
      <w:pPr>
        <w:spacing w:after="120" w:line="276"/>
        <w:jc w:val="both"/>
      </w:pPr>
      <w:r>
        <w:rPr>
          <w:rFonts w:ascii="Arial" w:cs="Arial" w:eastAsia="Arial" w:hAnsi="Arial"/>
          <w:sz w:val="20"/>
          <w:szCs w:val="20"/>
        </w:rPr>
        <w:t xml:space="preserve">Two properties of DitHub matter enormously for this PhD. The first is the choice of LoRA as the module format: because a LoRA module is a low-rank additive update to existing weight matrices, merging a module into the base model is a simple weight addition, meaning a merged model runs at exactly the original inference speed with no extra parameters at run time. The second is what the authors call natural unlearning: they demonstrate that class knowledge can be removed from the model by subtracting the corresponding class module from the weights (W′ = W − α·BA, with α around 0.3 in their experiments). Section 6 of this document builds the NDA-compliance unlearning contribution directly on this property.</w:t>
      </w:r>
    </w:p>
    <w:p>
      <w:pPr>
        <w:spacing w:after="120" w:line="276"/>
        <w:jc w:val="both"/>
      </w:pPr>
      <w:r>
        <w:rPr>
          <w:rFonts w:ascii="Arial" w:cs="Arial" w:eastAsia="Arial" w:hAnsi="Arial"/>
          <w:sz w:val="20"/>
          <w:szCs w:val="20"/>
        </w:rPr>
        <w:t xml:space="preserve">What DitHub does not do — and where OV-CIL-PCB v2 differentiates — is equally important. Its increments are object categories on natural-image benchmarks; it has no notion of domain increments (the same classes reappearing under a visually different domain, which is the dominant PCB reality). Its base model is a heavy transformer detector unsuited to real-time edge deployment on a production line. And it has no privacy dimension: no masking of sensitive content, no compliance-driven unlearning motivation, no verification protocol. These three gaps define the thesis positioning.</w:t>
      </w:r>
    </w:p>
    <w:p>
      <w:pPr>
        <w:pStyle w:val="Heading2"/>
        <w:spacing w:after="120" w:before="280"/>
      </w:pPr>
      <w:r>
        <w:rPr>
          <w:rFonts w:ascii="Arial" w:cs="Arial" w:eastAsia="Arial" w:hAnsi="Arial"/>
          <w:b/>
          <w:bCs/>
          <w:color w:val="2E4B7A"/>
          <w:sz w:val="24"/>
          <w:szCs w:val="24"/>
        </w:rPr>
        <w:t xml:space="preserve">2.3 COVD (2026) — problem formalisation and critique of existing methods</w:t>
      </w:r>
    </w:p>
    <w:p>
      <w:pPr>
        <w:spacing w:after="120" w:line="276"/>
        <w:jc w:val="both"/>
      </w:pPr>
      <w:r>
        <w:rPr>
          <w:rFonts w:ascii="Arial" w:cs="Arial" w:eastAsia="Arial" w:hAnsi="Arial"/>
          <w:sz w:val="20"/>
          <w:szCs w:val="20"/>
        </w:rPr>
        <w:t xml:space="preserve">The COVD paper [2] is valuable for two reasons. First, its formal problem definition should be adopted (and adapted to domain increments) in the thesis, because using community-standard notation makes the work legible to reviewers. Second, its related-work critique is a checklist of pitfalls the OV-CIL-PCB design must answer. The paper argues that prompt-based continual methods often store novel knowledge in external prompts rather than genuinely teaching the model new concepts, and require those prompts to be preserved and managed as concepts accumulate; that adapter-based and mixture-of-experts methods improve adaptation but continuously enlarge the model with extra parameters; and that parameter-efficient fine-tuning and reparameterisation can disrupt the original semantic space during novel concept injection, destabilising old knowledge. COVD's own answer is a concept-injection approach built on the LLMDet detector.</w:t>
      </w:r>
    </w:p>
    <w:p>
      <w:pPr>
        <w:spacing w:after="120" w:line="276"/>
        <w:jc w:val="both"/>
      </w:pPr>
      <w:r>
        <w:rPr>
          <w:rFonts w:ascii="Arial" w:cs="Arial" w:eastAsia="Arial" w:hAnsi="Arial"/>
          <w:sz w:val="20"/>
          <w:szCs w:val="20"/>
        </w:rPr>
        <w:t xml:space="preserve">The OV-CIL-PCB v2 answers to this critique are: module merging (Section 4.4) bounds model growth — board modules that have stabilised are merged into the base, so the library does not grow without limit; SLCA slow learning plus embedding distillation (Section 4.7) protect the semantic space during injection; and the prompt pool stores class semantics as cached embeddings that are cheap to manage, while the actual adaptation lives in LoRA modules — addressing the criticism that prompts alone do not truly teach the model.</w:t>
      </w:r>
    </w:p>
    <w:p>
      <w:pPr>
        <w:pStyle w:val="Heading2"/>
        <w:spacing w:after="120" w:before="280"/>
      </w:pPr>
      <w:r>
        <w:rPr>
          <w:rFonts w:ascii="Arial" w:cs="Arial" w:eastAsia="Arial" w:hAnsi="Arial"/>
          <w:b/>
          <w:bCs/>
          <w:color w:val="2E4B7A"/>
          <w:sz w:val="24"/>
          <w:szCs w:val="24"/>
        </w:rPr>
        <w:t xml:space="preserve">2.4 ODOV (CVPR 2026) — the domain angle is now benchmarked</w:t>
      </w:r>
    </w:p>
    <w:p>
      <w:pPr>
        <w:spacing w:after="120" w:line="276"/>
        <w:jc w:val="both"/>
      </w:pPr>
      <w:r>
        <w:rPr>
          <w:rFonts w:ascii="Arial" w:cs="Arial" w:eastAsia="Arial" w:hAnsi="Arial"/>
          <w:sz w:val="20"/>
          <w:szCs w:val="20"/>
        </w:rPr>
        <w:t xml:space="preserve">A CVPR 2026 paper introduced ODOV, a benchmark for Open-Domain Open-Vocabulary object detection [3] — evaluating detectors that must handle both novel categories and novel visual domains. This independently validates the May 2026 decision to refine the thesis title toward domain adaptation. Critically, ODOV is built from natural images; there is no industrial equivalent. Constructing a PCB domain-incremental benchmark (Section 8) is therefore itself a publishable contribution: the industrial counterpart of what ODinW/ODOV did for natural images.</w:t>
      </w:r>
    </w:p>
    <w:p>
      <w:pPr>
        <w:pStyle w:val="Heading2"/>
        <w:spacing w:after="120" w:before="280"/>
      </w:pPr>
      <w:r>
        <w:rPr>
          <w:rFonts w:ascii="Arial" w:cs="Arial" w:eastAsia="Arial" w:hAnsi="Arial"/>
          <w:b/>
          <w:bCs/>
          <w:color w:val="2E4B7A"/>
          <w:sz w:val="24"/>
          <w:szCs w:val="24"/>
        </w:rPr>
        <w:t xml:space="preserve">2.5 The LoRA-based continual learning wave</w:t>
      </w:r>
    </w:p>
    <w:p>
      <w:pPr>
        <w:spacing w:after="120" w:line="276"/>
        <w:jc w:val="both"/>
      </w:pPr>
      <w:r>
        <w:rPr>
          <w:rFonts w:ascii="Arial" w:cs="Arial" w:eastAsia="Arial" w:hAnsi="Arial"/>
          <w:sz w:val="20"/>
          <w:szCs w:val="20"/>
        </w:rPr>
        <w:t xml:space="preserve">Across ICML 2026 and NeurIPS 2025, LoRA has become the standard vehicle for continual adaptation: papers on LoRA knowledge retention (KeepLoRA), task-driven subspace decomposition for knowledge sharing and isolation in LoRA-based continual learning, spectral imbalance as a cause of forgetting in low-rank continual adaptation, gated integration of low-rank adaptation for continual learning, and test-time continual model merging with low-rank experts (MINGLE) [4]. The message for this PhD is unambiguous: reviewers in 2027 will expect the adaptation modules to be LoRA (or a justified variant), will expect awareness of the subspace-interference literature, and will view custom bottleneck adapters as dated. The migration is straightforward because the original OV-CIL-PCB adapter concept (small trainable module per task, frozen afterwards, orthogonality between tasks) transfers directly — LoRA is simply the better-studied instantiation, and the orthogonality idea reappears in the subspace-decomposition papers in more rigorous form.</w:t>
      </w:r>
    </w:p>
    <w:p>
      <w:pPr>
        <w:pStyle w:val="Heading2"/>
        <w:spacing w:after="120" w:before="280"/>
      </w:pPr>
      <w:r>
        <w:rPr>
          <w:rFonts w:ascii="Arial" w:cs="Arial" w:eastAsia="Arial" w:hAnsi="Arial"/>
          <w:b/>
          <w:bCs/>
          <w:color w:val="2E4B7A"/>
          <w:sz w:val="24"/>
          <w:szCs w:val="24"/>
        </w:rPr>
        <w:t xml:space="preserve">2.6 Adjacent developments worth tracking</w:t>
      </w:r>
    </w:p>
    <w:p>
      <w:pPr>
        <w:spacing w:after="120" w:line="276"/>
        <w:jc w:val="both"/>
      </w:pPr>
      <w:r>
        <w:rPr>
          <w:rFonts w:ascii="Arial" w:cs="Arial" w:eastAsia="Arial" w:hAnsi="Arial"/>
          <w:sz w:val="20"/>
          <w:szCs w:val="20"/>
        </w:rPr>
        <w:t xml:space="preserve">Three adjacent lines are worth reading but do not change the core design. Anytime continual learning for open-vocabulary classification [5] proposes dynamically weighting a partially fine-tuned model against a frozen open-vocabulary model, with a PCA-based compression of stored features motivated partly by privacy — useful background for the privacy narrative. Continual-learning surveys for vision-language models [6] provide the taxonomy (PEFT versus prompt learning) that the thesis literature review should adopt. And test-time adaptation with vision-language models offers a potential future ‘Level 0’ for the pipeline — adapting to a new board at inference time without any training — which can be noted as future work.</w:t>
      </w:r>
    </w:p>
    <w:p>
      <w:pPr>
        <w:pStyle w:val="Heading1"/>
        <w:spacing w:after="160" w:before="360"/>
      </w:pPr>
      <w:r>
        <w:rPr>
          <w:rFonts w:ascii="Arial" w:cs="Arial" w:eastAsia="Arial" w:hAnsi="Arial"/>
          <w:b/>
          <w:bCs/>
          <w:color w:val="1F3864"/>
          <w:sz w:val="30"/>
          <w:szCs w:val="30"/>
        </w:rPr>
        <w:t xml:space="preserve">3. Gap Analysis: Original Design vs the New Landscape</w:t>
      </w:r>
    </w:p>
    <w:p>
      <w:pPr>
        <w:spacing w:after="120" w:line="276"/>
        <w:jc w:val="both"/>
      </w:pPr>
      <w:r>
        <w:rPr>
          <w:rFonts w:ascii="Arial" w:cs="Arial" w:eastAsia="Arial" w:hAnsi="Arial"/>
          <w:sz w:val="20"/>
          <w:szCs w:val="20"/>
        </w:rPr>
        <w:t xml:space="preserve">The table below reviews each component of the original OV-CIL-PCB design against the 2026 landscape and states the decision: keep, change, or add. The overall conclusion is that roughly seventy percent of the design survives intact; the changes concentrate in the adaptation-module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26"/>
      </w:tblGrid>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18"/>
                <w:szCs w:val="18"/>
              </w:rPr>
              <w:t xml:space="preserve">Component (original design)</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18"/>
                <w:szCs w:val="18"/>
              </w:rPr>
              <w:t xml:space="preserve">Status vs 2026 landscape</w:t>
            </w:r>
          </w:p>
        </w:tc>
        <w:tc>
          <w:tcPr>
            <w:tcW w:type="dxa" w:w="20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18"/>
                <w:szCs w:val="18"/>
              </w:rPr>
              <w:t xml:space="preserve">Decision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YOLOE-26s base (CNN backbone, embedding head, real-time)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Still unique. DitHub uses Grounding DINO; COVD uses LLMDet — both heavy transformers, not edge-deployable.</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 — now a differentiator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Frozen backbone strategy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Standard practice across all PTM-based continual learning.</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Per-task bottleneck adapters (256→16→256)</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Superseded. Field standardised on LoRA; DitHub, KeepLoRA, subspace papers all use low-rank modules.</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18"/>
                <w:szCs w:val="18"/>
              </w:rPr>
              <w:t xml:space="preserve">CHANGE → LoRA modules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Orthogonal adapter projection (EASE-style)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Idea validated but now formalised better as subspace decomposition in LoRA literature.</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18"/>
                <w:szCs w:val="18"/>
              </w:rPr>
              <w:t xml:space="preserve">CHANGE → subspace-aware LoRA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Task organisation: one module per class-increment task</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DitHub already does per-class modules on natural images.</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18"/>
                <w:szCs w:val="18"/>
              </w:rPr>
              <w:t xml:space="preserve">CHANGE → one module per BOARD DESIGN (domain-incremental)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Prompt pool (text + visual + prototype embeddings)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Aligned with YOLOE mechanism; COVD critique answered by pairing with LoRA.</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Anti-forgetting: CPR pseudo-labelling, SLCA slow LR, embedding distillation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All still current; CPR remains the standard answer to background shift.</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Privacy masking pre-processing (Approach A/B)</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No competitor addresses privacy at all.</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 — unique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(not present) Unlearning capability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DitHub showed module subtraction unlearns a class — but gave it no application.</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18"/>
                <w:szCs w:val="18"/>
              </w:rPr>
              <w:t xml:space="preserve">ADD — NDA-driven unlearning (new core contribution)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(not present) Benchmark strategy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ODinW-13/ODinW-O are the standard; ODOV covers domains; no industrial equivalent exists.</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18"/>
                <w:szCs w:val="18"/>
              </w:rPr>
              <w:t xml:space="preserve">ADD — ODinW comparison + new PCB-DIL benchmark</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Three-level pipeline (zero-shot / few-shot / full CIL)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sz w:val="18"/>
                <w:szCs w:val="18"/>
              </w:rPr>
              <w:t xml:space="preserve">Still unique as an operational framing for industry.</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w:t>
            </w:r>
          </w:p>
        </w:tc>
      </w:tr>
    </w:tbl>
    <w:p>
      <w:r>
        <w:br w:type="page"/>
      </w:r>
    </w:p>
    <w:p>
      <w:pPr>
        <w:pStyle w:val="Heading1"/>
        <w:spacing w:after="160" w:before="360"/>
      </w:pPr>
      <w:r>
        <w:rPr>
          <w:rFonts w:ascii="Arial" w:cs="Arial" w:eastAsia="Arial" w:hAnsi="Arial"/>
          <w:b/>
          <w:bCs/>
          <w:color w:val="1F3864"/>
          <w:sz w:val="30"/>
          <w:szCs w:val="30"/>
        </w:rPr>
        <w:t xml:space="preserve">4. The Updated Framework: OV-CIL-PCB v2</w:t>
      </w:r>
    </w:p>
    <w:p>
      <w:pPr>
        <w:pStyle w:val="Heading2"/>
        <w:spacing w:after="120" w:before="280"/>
      </w:pPr>
      <w:r>
        <w:rPr>
          <w:rFonts w:ascii="Arial" w:cs="Arial" w:eastAsia="Arial" w:hAnsi="Arial"/>
          <w:b/>
          <w:bCs/>
          <w:color w:val="2E4B7A"/>
          <w:sz w:val="24"/>
          <w:szCs w:val="24"/>
        </w:rPr>
        <w:t xml:space="preserve">4.1 Architecture overview</w:t>
      </w:r>
    </w:p>
    <w:p>
      <w:pPr>
        <w:spacing w:after="120" w:line="276"/>
        <w:jc w:val="both"/>
      </w:pPr>
      <w:r>
        <w:rPr>
          <w:rFonts w:ascii="Arial" w:cs="Arial" w:eastAsia="Arial" w:hAnsi="Arial"/>
          <w:sz w:val="20"/>
          <w:szCs w:val="20"/>
        </w:rPr>
        <w:t xml:space="preserve">The v2 framework keeps the five-component structure but redefines the adaptation layer. The components are: (1) the frozen YOLOE-26s backbone and shared neck; (2) a LoRA module library organised per board design, replacing the bottleneck adapters; (3) the embedding head and continual prompt pool; (4) the privacy stack, now comprising both the input-side masking module and the new output-side unlearning mechanism; and (5) the anti-forgetting mechanisms applied during incremental training. The data path at inference is unchanged from v1: image → (privacy masking) → backbone → neck with merged LoRA → embedding head → cosine matching against the prompt pool → detections.</w:t>
      </w:r>
    </w:p>
    <w:p>
      <w:pPr>
        <w:shd w:fill="F5F5F5" w:val="clear"/>
        <w:spacing w:after="20" w:line="240"/>
      </w:pPr>
      <w:r>
        <w:rPr>
          <w:rFonts w:ascii="Courier New" w:cs="Courier New" w:eastAsia="Courier New" w:hAnsi="Courier New"/>
          <w:sz w:val="17"/>
          <w:szCs w:val="17"/>
        </w:rPr>
        <w:t xml:space="preserve">PCB image</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[Privacy Masking Module]        (Approach A: barcode/QR/text/logo redaction)</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[Frozen YOLOE-26s Backbone]     Layers 0-9, CSPNet, never updated after Task 0</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[Shared Neck: FPN+PAN]          frozen  +  [Merged LoRA ΔW for active board]</w:t>
      </w:r>
    </w:p>
    <w:p>
      <w:pPr>
        <w:shd w:fill="F5F5F5" w:val="clear"/>
        <w:spacing w:after="20" w:line="240"/>
      </w:pPr>
      <w:r>
        <w:rPr>
          <w:rFonts w:ascii="Courier New" w:cs="Courier New" w:eastAsia="Courier New" w:hAnsi="Courier New"/>
          <w:sz w:val="17"/>
          <w:szCs w:val="17"/>
        </w:rPr>
        <w:t xml:space="preserve">   │                                        ▲</w:t>
      </w:r>
    </w:p>
    <w:p>
      <w:pPr>
        <w:shd w:fill="F5F5F5" w:val="clear"/>
        <w:spacing w:after="20" w:line="240"/>
      </w:pPr>
      <w:r>
        <w:rPr>
          <w:rFonts w:ascii="Courier New" w:cs="Courier New" w:eastAsia="Courier New" w:hAnsi="Courier New"/>
          <w:sz w:val="17"/>
          <w:szCs w:val="17"/>
        </w:rPr>
        <w:t xml:space="preserve">   ▼                                        │ fetch / merge</w:t>
      </w:r>
    </w:p>
    <w:p>
      <w:pPr>
        <w:shd w:fill="F5F5F5" w:val="clear"/>
        <w:spacing w:after="20" w:line="240"/>
      </w:pPr>
      <w:r>
        <w:rPr>
          <w:rFonts w:ascii="Courier New" w:cs="Courier New" w:eastAsia="Courier New" w:hAnsi="Courier New"/>
          <w:sz w:val="17"/>
          <w:szCs w:val="17"/>
        </w:rPr>
        <w:t xml:space="preserve">[Embedding Head]  (SLCA slow-tuned)   [LoRA Module Library]</w:t>
      </w:r>
    </w:p>
    <w:p>
      <w:pPr>
        <w:shd w:fill="F5F5F5" w:val="clear"/>
        <w:spacing w:after="20" w:line="240"/>
      </w:pPr>
      <w:r>
        <w:rPr>
          <w:rFonts w:ascii="Courier New" w:cs="Courier New" w:eastAsia="Courier New" w:hAnsi="Courier New"/>
          <w:sz w:val="17"/>
          <w:szCs w:val="17"/>
        </w:rPr>
        <w:t xml:space="preserve">   │                                   main (base PCB knowledge)</w:t>
      </w:r>
    </w:p>
    <w:p>
      <w:pPr>
        <w:shd w:fill="F5F5F5" w:val="clear"/>
        <w:spacing w:after="20" w:line="240"/>
      </w:pPr>
      <w:r>
        <w:rPr>
          <w:rFonts w:ascii="Courier New" w:cs="Courier New" w:eastAsia="Courier New" w:hAnsi="Courier New"/>
          <w:sz w:val="17"/>
          <w:szCs w:val="17"/>
        </w:rPr>
        <w:t xml:space="preserve">   ▼                                   ├─ board_A   (LoRA_A)</w:t>
      </w:r>
    </w:p>
    <w:p>
      <w:pPr>
        <w:shd w:fill="F5F5F5" w:val="clear"/>
        <w:spacing w:after="20" w:line="240"/>
      </w:pPr>
      <w:r>
        <w:rPr>
          <w:rFonts w:ascii="Courier New" w:cs="Courier New" w:eastAsia="Courier New" w:hAnsi="Courier New"/>
          <w:sz w:val="17"/>
          <w:szCs w:val="17"/>
        </w:rPr>
        <w:t xml:space="preserve">cosine similarity                       ├─ board_B   (LoRA_B)</w:t>
      </w:r>
    </w:p>
    <w:p>
      <w:pPr>
        <w:shd w:fill="F5F5F5" w:val="clear"/>
        <w:spacing w:after="20" w:line="240"/>
      </w:pPr>
      <w:r>
        <w:rPr>
          <w:rFonts w:ascii="Courier New" w:cs="Courier New" w:eastAsia="Courier New" w:hAnsi="Courier New"/>
          <w:sz w:val="17"/>
          <w:szCs w:val="17"/>
        </w:rPr>
        <w:t xml:space="preserve">   │                                   └─ board_C   (LoRA_C)  ← subtract to unlearn</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[Prompt Pool]  text / visual / prototype embeddings per defect class</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   ▼</w:t>
      </w:r>
    </w:p>
    <w:p>
      <w:pPr>
        <w:shd w:fill="F5F5F5" w:val="clear"/>
        <w:spacing w:after="20" w:line="240"/>
      </w:pPr>
      <w:r>
        <w:rPr>
          <w:rFonts w:ascii="Courier New" w:cs="Courier New" w:eastAsia="Courier New" w:hAnsi="Courier New"/>
          <w:sz w:val="17"/>
          <w:szCs w:val="17"/>
        </w:rPr>
        <w:t xml:space="preserve">Detections: box + defect class + confidence</w:t>
      </w:r>
    </w:p>
    <w:p>
      <w:pPr>
        <w:pStyle w:val="Heading2"/>
        <w:spacing w:after="120" w:before="280"/>
      </w:pPr>
      <w:r>
        <w:rPr>
          <w:rFonts w:ascii="Arial" w:cs="Arial" w:eastAsia="Arial" w:hAnsi="Arial"/>
          <w:b/>
          <w:bCs/>
          <w:color w:val="2E4B7A"/>
          <w:sz w:val="24"/>
          <w:szCs w:val="24"/>
        </w:rPr>
        <w:t xml:space="preserve">4.2 Component 1 — Frozen backbone and shared neck (unchanged)</w:t>
      </w:r>
    </w:p>
    <w:p>
      <w:pPr>
        <w:spacing w:after="120" w:line="276"/>
        <w:jc w:val="both"/>
      </w:pPr>
      <w:r>
        <w:rPr>
          <w:rFonts w:ascii="Arial" w:cs="Arial" w:eastAsia="Arial" w:hAnsi="Arial"/>
          <w:sz w:val="20"/>
          <w:szCs w:val="20"/>
        </w:rPr>
        <w:t xml:space="preserve">Task 0 base training remains as designed: two-stage training on the base PCB dataset (backbone frozen first, then gentle full fine-tune), after which the backbone (Layers 0–9) and the shared neck weights (Layers 10–13) are frozen permanently. All subsequent adaptation happens through LoRA modules and the embedding head. The layer-level analysis from the May 2026 semester — including the finding that sensitive patterns become recognisable at the P3 scale — carries forward unchanged and continues to justify the input-side masking intervention point.</w:t>
      </w:r>
    </w:p>
    <w:p>
      <w:pPr>
        <w:pStyle w:val="Heading2"/>
        <w:spacing w:after="120" w:before="280"/>
      </w:pPr>
      <w:r>
        <w:rPr>
          <w:rFonts w:ascii="Arial" w:cs="Arial" w:eastAsia="Arial" w:hAnsi="Arial"/>
          <w:b/>
          <w:bCs/>
          <w:color w:val="2E4B7A"/>
          <w:sz w:val="24"/>
          <w:szCs w:val="24"/>
        </w:rPr>
        <w:t xml:space="preserve">4.3 Component 2 — LoRA module library (replaces bottleneck adapters)</w:t>
      </w:r>
    </w:p>
    <w:p>
      <w:pPr>
        <w:spacing w:after="120" w:line="276"/>
        <w:jc w:val="both"/>
      </w:pPr>
      <w:r>
        <w:rPr>
          <w:rFonts w:ascii="Arial" w:cs="Arial" w:eastAsia="Arial" w:hAnsi="Arial"/>
          <w:sz w:val="20"/>
          <w:szCs w:val="20"/>
        </w:rPr>
        <w:t xml:space="preserve">Each board design d receives a LoRA module: a pair of low-rank matrices (B_d, A_d) attached to selected weight matrices in the neck and embedding head. During training on board d, only B_d and A_d receive gradients; the underlying weights W stay frozen. The effective weight during inference for board d is W + B_d·A_d. The full mathematics, rank selection, and insertion points are covered in Section 5. Three operations define the library workflow, deliberately mirroring version control so the thesis can reuse DitHub’s vocabulary while extending it to domains: commit (train and freeze a new board module), fetch and merge (activate the modules relevant to the boards on the current line by adding their ΔW into the weights, at zero inference cost), and revert or subtract (remove a module’s influence, which is the unlearning operation of Section 6).</w:t>
      </w:r>
    </w:p>
    <w:p>
      <w:pPr>
        <w:spacing w:after="120" w:line="276"/>
        <w:jc w:val="both"/>
      </w:pPr>
      <w:r>
        <w:rPr>
          <w:rFonts w:ascii="Arial" w:cs="Arial" w:eastAsia="Arial" w:hAnsi="Arial"/>
          <w:sz w:val="20"/>
          <w:szCs w:val="20"/>
        </w:rPr>
        <w:t xml:space="preserve">Against the COVD growth critique, the library is bounded by a consolidation policy: when a group of board modules has been stable in production for a defined period, their average update is merged permanently into the base weights and the individual modules are archived. New boards then branch from the enriched base. This keeps the active library small while preserving the audit trail needed for compliance.</w:t>
      </w:r>
    </w:p>
    <w:p>
      <w:pPr>
        <w:pStyle w:val="Heading2"/>
        <w:spacing w:after="120" w:before="280"/>
      </w:pPr>
      <w:r>
        <w:rPr>
          <w:rFonts w:ascii="Arial" w:cs="Arial" w:eastAsia="Arial" w:hAnsi="Arial"/>
          <w:b/>
          <w:bCs/>
          <w:color w:val="2E4B7A"/>
          <w:sz w:val="24"/>
          <w:szCs w:val="24"/>
        </w:rPr>
        <w:t xml:space="preserve">4.4 Component 3 — Board-as-Branch domain organisation (the key repositioning)</w:t>
      </w:r>
    </w:p>
    <w:p>
      <w:pPr>
        <w:spacing w:after="120" w:line="276"/>
        <w:jc w:val="both"/>
      </w:pPr>
      <w:r>
        <w:rPr>
          <w:rFonts w:ascii="Arial" w:cs="Arial" w:eastAsia="Arial" w:hAnsi="Arial"/>
          <w:sz w:val="20"/>
          <w:szCs w:val="20"/>
        </w:rPr>
        <w:t xml:space="preserve">This is the central conceptual difference from DitHub and COVD. Their modules represent object categories; OV-CIL-PCB v2 modules represent domains — board designs. The defect vocabulary (open circuit, short circuit, mouse bite, and so on) is largely shared across boards and lives in the prompt pool; what changes from board to board is the visual context in which those defects appear. A new board design therefore triggers a domain increment: the closest existing board module is identified (by embedding similarity between board images), used to warm-start a new LoRA module, and the new module is fine-tuned on the new board’s data with anti-forgetting active. This matches the actual production cadence established in the AOI workflow analysis — new boards every few weeks, new defect classes rarely — and gives the thesis its domain-incremental identity. Class increments (a genuinely new defect type) are still supported and remain cheaper than in any classifier-head design: a new prompt-pool entry, optionally accompanied by light LoRA tuning on the embedding head.</w:t>
      </w:r>
    </w:p>
    <w:p>
      <w:pPr>
        <w:pStyle w:val="Heading2"/>
        <w:spacing w:after="120" w:before="280"/>
      </w:pPr>
      <w:r>
        <w:rPr>
          <w:rFonts w:ascii="Arial" w:cs="Arial" w:eastAsia="Arial" w:hAnsi="Arial"/>
          <w:b/>
          <w:bCs/>
          <w:color w:val="2E4B7A"/>
          <w:sz w:val="24"/>
          <w:szCs w:val="24"/>
        </w:rPr>
        <w:t xml:space="preserve">4.5 Component 4 — The privacy stack (masking + unlearning)</w:t>
      </w:r>
    </w:p>
    <w:p>
      <w:pPr>
        <w:spacing w:after="120" w:line="276"/>
        <w:jc w:val="both"/>
      </w:pPr>
      <w:r>
        <w:rPr>
          <w:rFonts w:ascii="Arial" w:cs="Arial" w:eastAsia="Arial" w:hAnsi="Arial"/>
          <w:sz w:val="20"/>
          <w:szCs w:val="20"/>
        </w:rPr>
        <w:t xml:space="preserve">The privacy stack now has two sides. The input side is the masking module from the May 2026 analysis (the Approach A / Approach B decision still scheduled for next semester); it ensures sensitive content — logos, barcodes, QR codes, serial numbers — never influences training. The output side is new: module-level unlearning, which ensures that when data influence must be removed after the fact (a customer exits, an NDA term expires, a data-retention window closes), the corresponding board modules can be subtracted from the model with mathematical traceability, avoiding full retraining. Section 6 specifies the mechanism and its verification protocol. Together the two sides give a complete privacy story — prevention on the way in, removal on the way out — that no competing work offers.</w:t>
      </w:r>
    </w:p>
    <w:p>
      <w:pPr>
        <w:pStyle w:val="Heading2"/>
        <w:spacing w:after="120" w:before="280"/>
      </w:pPr>
      <w:r>
        <w:rPr>
          <w:rFonts w:ascii="Arial" w:cs="Arial" w:eastAsia="Arial" w:hAnsi="Arial"/>
          <w:b/>
          <w:bCs/>
          <w:color w:val="2E4B7A"/>
          <w:sz w:val="24"/>
          <w:szCs w:val="24"/>
        </w:rPr>
        <w:t xml:space="preserve">4.6 Component 5 — Embedding head, prompt pool, and anti-forgetting (kept)</w:t>
      </w:r>
    </w:p>
    <w:p>
      <w:pPr>
        <w:spacing w:after="120" w:line="276"/>
        <w:jc w:val="both"/>
      </w:pPr>
      <w:r>
        <w:rPr>
          <w:rFonts w:ascii="Arial" w:cs="Arial" w:eastAsia="Arial" w:hAnsi="Arial"/>
          <w:sz w:val="20"/>
          <w:szCs w:val="20"/>
        </w:rPr>
        <w:t xml:space="preserve">The embedding head continues to be fine-tuned with the SLCA slow-learning regime (backbone-relative learning rate reduced by two orders of magnitude) during any incremental training, with embedding distillation from the previous model checkpoint keeping old defect embeddings anchored. CPR-style pseudo-labelling continues to address background shift when new-board images contain unannotated instances of known defects. The prompt pool keeps its three entry types per defect class — text embeddings from the frozen RepRTA text encoder, visual prompt embeddings from SAVPE, and incrementally updated prototype embeddings — and, per the COVD critique, is explicitly documented as a semantic index rather than the locus of learning: durable knowledge lives in the LoRA modules and the slow-tuned embedding head.</w:t>
      </w:r>
    </w:p>
    <w:p>
      <w:pPr>
        <w:pStyle w:val="Heading2"/>
        <w:spacing w:after="120" w:before="280"/>
      </w:pPr>
      <w:r>
        <w:rPr>
          <w:rFonts w:ascii="Arial" w:cs="Arial" w:eastAsia="Arial" w:hAnsi="Arial"/>
          <w:b/>
          <w:bCs/>
          <w:color w:val="2E4B7A"/>
          <w:sz w:val="24"/>
          <w:szCs w:val="24"/>
        </w:rPr>
        <w:t xml:space="preserve">4.7 The three-level pipeline (kept, now with an unlearning counterpart)</w:t>
      </w:r>
    </w:p>
    <w:p>
      <w:pPr>
        <w:spacing w:after="120" w:line="276"/>
        <w:jc w:val="both"/>
      </w:pPr>
      <w:r>
        <w:rPr>
          <w:rFonts w:ascii="Arial" w:cs="Arial" w:eastAsia="Arial" w:hAnsi="Arial"/>
          <w:sz w:val="20"/>
          <w:szCs w:val="20"/>
        </w:rPr>
        <w:t xml:space="preserve">The operational pipeline remains: Level 1, zero-shot — a new defect described by text is detectable immediately at reduced accuracy; Level 2, few-shot — visual prompt examples raise accuracy within minutes; Level 3, full continual — LoRA training with anti-forgetting reaches production accuracy. v2 adds the symmetric removal operation: Level −1, unlearning — a board’s or customer’s influence is subtracted in seconds. Presenting learning and unlearning as symmetric operations of one module system is a clean narrative for both the thesis and the papers.</w:t>
      </w:r>
    </w:p>
    <w:p>
      <w:pPr>
        <w:pStyle w:val="Heading1"/>
        <w:spacing w:after="160" w:before="360"/>
      </w:pPr>
      <w:r>
        <w:rPr>
          <w:rFonts w:ascii="Arial" w:cs="Arial" w:eastAsia="Arial" w:hAnsi="Arial"/>
          <w:b/>
          <w:bCs/>
          <w:color w:val="1F3864"/>
          <w:sz w:val="30"/>
          <w:szCs w:val="30"/>
        </w:rPr>
        <w:t xml:space="preserve">5. LoRA Technical Deep Dive</w:t>
      </w:r>
    </w:p>
    <w:p>
      <w:pPr>
        <w:pStyle w:val="Heading2"/>
        <w:spacing w:after="120" w:before="280"/>
      </w:pPr>
      <w:r>
        <w:rPr>
          <w:rFonts w:ascii="Arial" w:cs="Arial" w:eastAsia="Arial" w:hAnsi="Arial"/>
          <w:b/>
          <w:bCs/>
          <w:color w:val="2E4B7A"/>
          <w:sz w:val="24"/>
          <w:szCs w:val="24"/>
        </w:rPr>
        <w:t xml:space="preserve">5.1 The mathematics</w:t>
      </w:r>
    </w:p>
    <w:p>
      <w:pPr>
        <w:spacing w:after="120" w:line="276"/>
        <w:jc w:val="both"/>
      </w:pPr>
      <w:r>
        <w:rPr>
          <w:rFonts w:ascii="Arial" w:cs="Arial" w:eastAsia="Arial" w:hAnsi="Arial"/>
          <w:sz w:val="20"/>
          <w:szCs w:val="20"/>
        </w:rPr>
        <w:t xml:space="preserve">LoRA [7] adapts a frozen weight matrix W (dimensions d×k) by learning an additive low-rank update ΔW = B·A, where B is d×r, A is r×k, and the rank r is much smaller than d and k (typically 4 to 16). During training, W is frozen and only B and A receive gradients; B is initialised to zero so training starts from the unmodified model. The forward pass computes h = W·x + B·A·x. For a 256×256 neck convolution treated as a linear map, full fine-tuning would touch 65,536 parameters, while a rank-8 LoRA trains 2×(256×8) = 4,096 — about six percent — and in practice modules are attached to only a subset of layers.</w:t>
      </w:r>
    </w:p>
    <w:p>
      <w:pPr>
        <w:shd w:fill="F5F5F5" w:val="clear"/>
        <w:spacing w:after="20" w:line="240"/>
      </w:pPr>
      <w:r>
        <w:rPr>
          <w:rFonts w:ascii="Courier New" w:cs="Courier New" w:eastAsia="Courier New" w:hAnsi="Courier New"/>
          <w:sz w:val="17"/>
          <w:szCs w:val="17"/>
        </w:rPr>
        <w:t xml:space="preserve">Frozen:      W  ∈ R^{d×k}</w:t>
      </w:r>
    </w:p>
    <w:p>
      <w:pPr>
        <w:shd w:fill="F5F5F5" w:val="clear"/>
        <w:spacing w:after="20" w:line="240"/>
      </w:pPr>
      <w:r>
        <w:rPr>
          <w:rFonts w:ascii="Courier New" w:cs="Courier New" w:eastAsia="Courier New" w:hAnsi="Courier New"/>
          <w:sz w:val="17"/>
          <w:szCs w:val="17"/>
        </w:rPr>
        <w:t xml:space="preserve">Trainable:   B  ∈ R^{d×r},  A ∈ R^{r×k},   r ≪ min(d,k)</w:t>
      </w:r>
    </w:p>
    <w:p>
      <w:pPr>
        <w:shd w:fill="F5F5F5" w:val="clear"/>
        <w:spacing w:after="20" w:line="240"/>
      </w:pPr>
      <w:r>
        <w:rPr>
          <w:rFonts w:ascii="Courier New" w:cs="Courier New" w:eastAsia="Courier New" w:hAnsi="Courier New"/>
          <w:sz w:val="17"/>
          <w:szCs w:val="17"/>
        </w:rPr>
        <w:t xml:space="preserve">Forward:     h = W·x + (B·A)·x</w:t>
      </w:r>
    </w:p>
    <w:p>
      <w:pPr>
        <w:shd w:fill="F5F5F5" w:val="clear"/>
        <w:spacing w:after="20" w:line="240"/>
      </w:pPr>
      <w:r>
        <w:rPr>
          <w:rFonts w:ascii="Courier New" w:cs="Courier New" w:eastAsia="Courier New" w:hAnsi="Courier New"/>
          <w:sz w:val="17"/>
          <w:szCs w:val="17"/>
        </w:rPr>
        <w:t xml:space="preserve">Merge:       W′ = W + B·A          (zero inference overhead afterwards)</w:t>
      </w:r>
    </w:p>
    <w:p>
      <w:pPr>
        <w:shd w:fill="F5F5F5" w:val="clear"/>
        <w:spacing w:after="20" w:line="240"/>
      </w:pPr>
      <w:r>
        <w:rPr>
          <w:rFonts w:ascii="Courier New" w:cs="Courier New" w:eastAsia="Courier New" w:hAnsi="Courier New"/>
          <w:sz w:val="17"/>
          <w:szCs w:val="17"/>
        </w:rPr>
        <w:t xml:space="preserve">Unlearn:     W′ = W − α·B·A       (α ≈ 0.3–1.0, tuned; DitHub used 0.3)</w:t>
      </w:r>
    </w:p>
    <w:p>
      <w:pPr>
        <w:pStyle w:val="Heading2"/>
        <w:spacing w:after="120" w:before="280"/>
      </w:pPr>
      <w:r>
        <w:rPr>
          <w:rFonts w:ascii="Arial" w:cs="Arial" w:eastAsia="Arial" w:hAnsi="Arial"/>
          <w:b/>
          <w:bCs/>
          <w:color w:val="2E4B7A"/>
          <w:sz w:val="24"/>
          <w:szCs w:val="24"/>
        </w:rPr>
        <w:t xml:space="preserve">5.2 Why merging and subtraction work</w:t>
      </w:r>
    </w:p>
    <w:p>
      <w:pPr>
        <w:spacing w:after="120" w:line="276"/>
        <w:jc w:val="both"/>
      </w:pPr>
      <w:r>
        <w:rPr>
          <w:rFonts w:ascii="Arial" w:cs="Arial" w:eastAsia="Arial" w:hAnsi="Arial"/>
          <w:sz w:val="20"/>
          <w:szCs w:val="20"/>
        </w:rPr>
        <w:t xml:space="preserve">Because the LoRA update is purely additive in weight space, module arithmetic is well defined: merging is addition, removal is subtraction, and combining two board modules is the sum of their updates. This linearity is what monolithic fine-tuning destroys — after full fine-tuning there is no separable term to subtract. The caveat, highlighted by the ICML 2026 subspace literature [4], is interference: if two modules occupy overlapping low-rank subspaces, their sum can degrade both. The v1 orthogonality intuition therefore returns in stronger form — during training, each new board module is regularised toward subspaces with low overlap against existing modules (measured on the principal directions of B·A). This is also an honest open research question the thesis can study empirically: how much subspace overlap is tolerable before merging degrades detection, and does the answer differ between domain modules (boards) and class modules (defects)?</w:t>
      </w:r>
    </w:p>
    <w:p>
      <w:pPr>
        <w:pStyle w:val="Heading2"/>
        <w:spacing w:after="120" w:before="280"/>
      </w:pPr>
      <w:r>
        <w:rPr>
          <w:rFonts w:ascii="Arial" w:cs="Arial" w:eastAsia="Arial" w:hAnsi="Arial"/>
          <w:b/>
          <w:bCs/>
          <w:color w:val="2E4B7A"/>
          <w:sz w:val="24"/>
          <w:szCs w:val="24"/>
        </w:rPr>
        <w:t xml:space="preserve">5.3 Insertion points in YOLOE-26s</w:t>
      </w:r>
    </w:p>
    <w:p>
      <w:pPr>
        <w:spacing w:after="120" w:line="276"/>
        <w:jc w:val="both"/>
      </w:pPr>
      <w:r>
        <w:rPr>
          <w:rFonts w:ascii="Arial" w:cs="Arial" w:eastAsia="Arial" w:hAnsi="Arial"/>
          <w:sz w:val="20"/>
          <w:szCs w:val="20"/>
        </w:rPr>
        <w:t xml:space="preserve">Recommended insertion points, balancing adaptation power against parameter count: the four fusion convolutions of the neck (the FPN and PAN C3k2 blocks at P3, P4, P5), and the linear projection of the embedding head. The backbone receives no LoRA — it stays a pure frozen feature extractor, preserving the compliance argument that per-customer adaptation never touches the shared representation learned from mixed data. At rank 8, the total per-board module is on the order of 100–200K parameters — under one percent of the 26M-parameter model — so even fifty board modules stored on disk cost only a few tens of megabytes.</w:t>
      </w:r>
    </w:p>
    <w:p>
      <w:pPr>
        <w:pStyle w:val="Heading1"/>
        <w:spacing w:after="160" w:before="360"/>
      </w:pPr>
      <w:r>
        <w:rPr>
          <w:rFonts w:ascii="Arial" w:cs="Arial" w:eastAsia="Arial" w:hAnsi="Arial"/>
          <w:b/>
          <w:bCs/>
          <w:color w:val="1F3864"/>
          <w:sz w:val="30"/>
          <w:szCs w:val="30"/>
        </w:rPr>
        <w:t xml:space="preserve">6. Machine Unlearning for NDA Compliance (new core contribution)</w:t>
      </w:r>
    </w:p>
    <w:p>
      <w:pPr>
        <w:pStyle w:val="Heading2"/>
        <w:spacing w:after="120" w:before="280"/>
      </w:pPr>
      <w:r>
        <w:rPr>
          <w:rFonts w:ascii="Arial" w:cs="Arial" w:eastAsia="Arial" w:hAnsi="Arial"/>
          <w:b/>
          <w:bCs/>
          <w:color w:val="2E4B7A"/>
          <w:sz w:val="24"/>
          <w:szCs w:val="24"/>
        </w:rPr>
        <w:t xml:space="preserve">6.1 Motivation from the real NDA scenario</w:t>
      </w:r>
    </w:p>
    <w:p>
      <w:pPr>
        <w:spacing w:after="120" w:line="276"/>
        <w:jc w:val="both"/>
      </w:pPr>
      <w:r>
        <w:rPr>
          <w:rFonts w:ascii="Arial" w:cs="Arial" w:eastAsia="Arial" w:hAnsi="Arial"/>
          <w:sz w:val="20"/>
          <w:szCs w:val="20"/>
        </w:rPr>
        <w:t xml:space="preserve">The Flex NDA process established that data usage rights are conditional and revocable: a customer relationship can end, an approval can lapse, a retention period can expire. Under a conventional monolithically fine-tuned model, honouring such an event strictly would require retraining from scratch without the affected data — costly enough that in practice it rarely happens. The v2 framework turns this compliance liability into a research contribution: because every customer’s boards live in identifiable LoRA modules, removal is a constant-time weight operation with an auditable record.</w:t>
      </w:r>
    </w:p>
    <w:p>
      <w:pPr>
        <w:pStyle w:val="Heading2"/>
        <w:spacing w:after="120" w:before="280"/>
      </w:pPr>
      <w:r>
        <w:rPr>
          <w:rFonts w:ascii="Arial" w:cs="Arial" w:eastAsia="Arial" w:hAnsi="Arial"/>
          <w:b/>
          <w:bCs/>
          <w:color w:val="2E4B7A"/>
          <w:sz w:val="24"/>
          <w:szCs w:val="24"/>
        </w:rPr>
        <w:t xml:space="preserve">6.2 Mechanism</w:t>
      </w:r>
    </w:p>
    <w:p>
      <w:pPr>
        <w:spacing w:after="120" w:line="276"/>
        <w:jc w:val="both"/>
      </w:pPr>
      <w:r>
        <w:rPr>
          <w:rFonts w:ascii="Arial" w:cs="Arial" w:eastAsia="Arial" w:hAnsi="Arial"/>
          <w:sz w:val="20"/>
          <w:szCs w:val="20"/>
        </w:rPr>
        <w:t xml:space="preserve">Unlearning a board (or all boards of a customer) consists of three steps. First, subtraction: the module’s scaled update is removed from any merged weights (W′ = W − α·B_d·A_d) and the module is deleted from the library. Second, prompt-pool cleanup: any prototype embeddings computed from that board’s images are removed and affected class prototypes are recomputed from the remaining boards. Third, consolidation handling: if the module had previously been folded into the base during a consolidation event, the archived module is used to subtract its contribution from the consolidated base — which is precisely why the consolidation policy of Section 4.3 archives modules rather than discarding them.</w:t>
      </w:r>
    </w:p>
    <w:p>
      <w:pPr>
        <w:pStyle w:val="Heading2"/>
        <w:spacing w:after="120" w:before="280"/>
      </w:pPr>
      <w:r>
        <w:rPr>
          <w:rFonts w:ascii="Arial" w:cs="Arial" w:eastAsia="Arial" w:hAnsi="Arial"/>
          <w:b/>
          <w:bCs/>
          <w:color w:val="2E4B7A"/>
          <w:sz w:val="24"/>
          <w:szCs w:val="24"/>
        </w:rPr>
        <w:t xml:space="preserve">6.3 Verification protocol (what makes this publishable)</w:t>
      </w:r>
    </w:p>
    <w:p>
      <w:pPr>
        <w:spacing w:after="120" w:line="276"/>
        <w:jc w:val="both"/>
      </w:pPr>
      <w:r>
        <w:rPr>
          <w:rFonts w:ascii="Arial" w:cs="Arial" w:eastAsia="Arial" w:hAnsi="Arial"/>
          <w:sz w:val="20"/>
          <w:szCs w:val="20"/>
        </w:rPr>
        <w:t xml:space="preserve">DitHub demonstrated subtraction qualitatively; the thesis contribution is to make it verifiable in an industrial compliance setting. Three measurements are proposed. Efficacy: detection performance on the unlearned board’s held-out images should drop to the level of a model never trained on that board (the retrain-from-scratch reference, computed once for the experiment). Retention: performance on all remaining boards should be statistically unchanged. Leakage probing: membership-inference style probes should not distinguish the unlearned model from the never-trained reference on the removed board’s images. Reporting these three numbers for module subtraction versus full retraining, across several boards and customer groupings, is a self-contained experimental chapter and the core of Paper 2 in Section 9.</w:t>
      </w:r>
    </w:p>
    <w:p>
      <w:pPr>
        <w:pStyle w:val="Heading2"/>
        <w:spacing w:after="120" w:before="280"/>
      </w:pPr>
      <w:r>
        <w:rPr>
          <w:rFonts w:ascii="Arial" w:cs="Arial" w:eastAsia="Arial" w:hAnsi="Arial"/>
          <w:b/>
          <w:bCs/>
          <w:color w:val="2E4B7A"/>
          <w:sz w:val="24"/>
          <w:szCs w:val="24"/>
        </w:rPr>
        <w:t xml:space="preserve">6.4 Positioning</w:t>
      </w:r>
    </w:p>
    <w:p>
      <w:pPr>
        <w:spacing w:after="120" w:line="276"/>
        <w:jc w:val="both"/>
      </w:pPr>
      <w:r>
        <w:rPr>
          <w:rFonts w:ascii="Arial" w:cs="Arial" w:eastAsia="Arial" w:hAnsi="Arial"/>
          <w:sz w:val="20"/>
          <w:szCs w:val="20"/>
        </w:rPr>
        <w:t xml:space="preserve">The claim to defend in reviews: this is the first work to operationalise module-level unlearning for NDA-driven compliance in open-vocabulary continual detection, with a verification protocol, on industrial data. Each qualifier matters — unlearning exists, modular detection exists, industrial detection exists, but their intersection with a compliance-grade verification story is unclaimed as of August 2026. This should be re-verified with a literature search immediately before paper submission.</w:t>
      </w:r>
    </w:p>
    <w:p>
      <w:r>
        <w:br w:type="page"/>
      </w:r>
    </w:p>
    <w:p>
      <w:pPr>
        <w:pStyle w:val="Heading1"/>
        <w:spacing w:after="160" w:before="360"/>
      </w:pPr>
      <w:r>
        <w:rPr>
          <w:rFonts w:ascii="Arial" w:cs="Arial" w:eastAsia="Arial" w:hAnsi="Arial"/>
          <w:b/>
          <w:bCs/>
          <w:color w:val="1F3864"/>
          <w:sz w:val="30"/>
          <w:szCs w:val="30"/>
        </w:rPr>
        <w:t xml:space="preserve">7. Migration Plan: Concrete Changes to the Project</w:t>
      </w:r>
    </w:p>
    <w:p>
      <w:pPr>
        <w:pStyle w:val="Heading2"/>
        <w:spacing w:after="120" w:before="280"/>
      </w:pPr>
      <w:r>
        <w:rPr>
          <w:rFonts w:ascii="Arial" w:cs="Arial" w:eastAsia="Arial" w:hAnsi="Arial"/>
          <w:b/>
          <w:bCs/>
          <w:color w:val="2E4B7A"/>
          <w:sz w:val="24"/>
          <w:szCs w:val="24"/>
        </w:rPr>
        <w:t xml:space="preserve">7.1 Architecture documentation (next semester’s deliverable)</w:t>
      </w:r>
    </w:p>
    <w:p>
      <w:pPr>
        <w:spacing w:after="120" w:line="276"/>
        <w:jc w:val="both"/>
      </w:pPr>
      <w:r>
        <w:rPr>
          <w:rFonts w:ascii="Arial" w:cs="Arial" w:eastAsia="Arial" w:hAnsi="Arial"/>
          <w:sz w:val="20"/>
          <w:szCs w:val="20"/>
        </w:rPr>
        <w:t xml:space="preserve">The planned layer-by-layer architecture document absorbs three edits: the TaskAdapter sections are rewritten as LoRA module specifications (per-layer insertion points, rank, initialisation, scaling factor α); a new Module Library chapter specifies the commit / fetch-merge / subtract / consolidate lifecycle and its on-disk format; and the privacy chapter gains the unlearning mechanism and verification protocol alongside the existing masking analysis. The Approach A/B decision process is unchanged.</w:t>
      </w:r>
    </w:p>
    <w:p>
      <w:pPr>
        <w:pStyle w:val="Heading2"/>
        <w:spacing w:after="120" w:before="280"/>
      </w:pPr>
      <w:r>
        <w:rPr>
          <w:rFonts w:ascii="Arial" w:cs="Arial" w:eastAsia="Arial" w:hAnsi="Arial"/>
          <w:b/>
          <w:bCs/>
          <w:color w:val="2E4B7A"/>
          <w:sz w:val="24"/>
          <w:szCs w:val="24"/>
        </w:rPr>
        <w:t xml:space="preserve">7.2 Code changes</w:t>
      </w:r>
    </w:p>
    <w:p>
      <w:pPr>
        <w:spacing w:after="120" w:line="276"/>
        <w:jc w:val="both"/>
      </w:pPr>
      <w:r>
        <w:rPr>
          <w:rFonts w:ascii="Arial" w:cs="Arial" w:eastAsia="Arial" w:hAnsi="Arial"/>
          <w:sz w:val="20"/>
          <w:szCs w:val="20"/>
        </w:rPr>
        <w:t xml:space="preserve">In the existing codebase: the TaskAdapter class in the architecture study script is replaced by a LoRALayer wrapper (wrapping nn.Conv2d and nn.Linear) plus a ModuleLibrary manager class handling save, load, merge, subtract, and overlap-regularisation; the planned training scripts gain a --board argument that selects or creates the corresponding module; and two new scripts are added — an unlearning script implementing Section 6.2 and an evaluation script implementing the Section 6.3 protocol. The privacy masking prototype work planned for next semester proceeds as scheduled.</w:t>
      </w:r>
    </w:p>
    <w:p>
      <w:pPr>
        <w:pStyle w:val="Heading2"/>
        <w:spacing w:after="120" w:before="280"/>
      </w:pPr>
      <w:r>
        <w:rPr>
          <w:rFonts w:ascii="Arial" w:cs="Arial" w:eastAsia="Arial" w:hAnsi="Arial"/>
          <w:b/>
          <w:bCs/>
          <w:color w:val="2E4B7A"/>
          <w:sz w:val="24"/>
          <w:szCs w:val="24"/>
        </w:rPr>
        <w:t xml:space="preserve">7.3 Experiment plan changes</w:t>
      </w:r>
    </w:p>
    <w:p>
      <w:pPr>
        <w:spacing w:after="120" w:line="276"/>
        <w:jc w:val="both"/>
      </w:pPr>
      <w:r>
        <w:rPr>
          <w:rFonts w:ascii="Arial" w:cs="Arial" w:eastAsia="Arial" w:hAnsi="Arial"/>
          <w:sz w:val="20"/>
          <w:szCs w:val="20"/>
        </w:rPr>
        <w:t xml:space="preserve">Baselines now must include DitHub (its code is public) and, if its code is released in time, COVD, alongside the previously planned EWC, iCaRL, and YOLO-IOD baselines. The task protocol changes from class-split-only to a two-axis design: a domain-incremental axis (boards arrive sequentially; the defect vocabulary is fixed) and a class-incremental axis (new defect types arrive), evaluated separately and jointly. Section 8 details the benchmarks.</w:t>
      </w:r>
    </w:p>
    <w:p>
      <w:pPr>
        <w:pStyle w:val="Heading2"/>
        <w:spacing w:after="120" w:before="280"/>
      </w:pPr>
      <w:r>
        <w:rPr>
          <w:rFonts w:ascii="Arial" w:cs="Arial" w:eastAsia="Arial" w:hAnsi="Arial"/>
          <w:b/>
          <w:bCs/>
          <w:color w:val="2E4B7A"/>
          <w:sz w:val="24"/>
          <w:szCs w:val="24"/>
        </w:rPr>
        <w:t xml:space="preserve">7.4 What does not change</w:t>
      </w:r>
    </w:p>
    <w:p>
      <w:pPr>
        <w:spacing w:after="120" w:line="276"/>
        <w:jc w:val="both"/>
      </w:pPr>
      <w:r>
        <w:rPr>
          <w:rFonts w:ascii="Arial" w:cs="Arial" w:eastAsia="Arial" w:hAnsi="Arial"/>
          <w:sz w:val="20"/>
          <w:szCs w:val="20"/>
        </w:rPr>
        <w:t xml:space="preserve">Task 0 base training design, the VS Code / Colab / Drive environment, the DeepPCB fallback dataset, the three-dimensional evaluation metrics (now extended with unlearning metrics), the supervision and progress-report roadmap (framework design next semester, implementation the semester after), and the NDA and masking workstream. The thesis title also survives unchanged — “domain-adaptive” and “continual” already cover the v2 scope, which is a sign the May 2026 refinement was well judged.</w:t>
      </w:r>
    </w:p>
    <w:p>
      <w:pPr>
        <w:pStyle w:val="Heading1"/>
        <w:spacing w:after="160" w:before="360"/>
      </w:pPr>
      <w:r>
        <w:rPr>
          <w:rFonts w:ascii="Arial" w:cs="Arial" w:eastAsia="Arial" w:hAnsi="Arial"/>
          <w:b/>
          <w:bCs/>
          <w:color w:val="1F3864"/>
          <w:sz w:val="30"/>
          <w:szCs w:val="30"/>
        </w:rPr>
        <w:t xml:space="preserve">8. Updated Evaluation and Benchmark Strategy</w:t>
      </w:r>
    </w:p>
    <w:p>
      <w:pPr>
        <w:spacing w:after="120" w:line="276"/>
        <w:jc w:val="both"/>
      </w:pPr>
      <w:r>
        <w:rPr>
          <w:rFonts w:ascii="Arial" w:cs="Arial" w:eastAsia="Arial" w:hAnsi="Arial"/>
          <w:sz w:val="20"/>
          <w:szCs w:val="20"/>
        </w:rPr>
        <w:t xml:space="preserve">Two benchmark tracks are proposed. Track 1, external comparability: reproduce the DitHub evaluation setting on ODinW-13 (and ODinW-O for class reappearance) with the v2 module system mounted on YOLOE-26s, demonstrating that the method is competitive in the general domain despite using a far lighter, real-time base model — the speed-versus-accuracy trade-off is itself a result worth reporting. Track 2, the industrial contribution: construct PCB-DIL, a PCB domain-incremental benchmark, by partitioning DeepPCB and (once approved) the Flex dataset by board design into an ordered sequence of domains with a shared defect vocabulary, plus a class-incremental extension where selected defect types are held out and introduced late. Publishing PCB-DIL with a standard protocol (splits, metrics, and baseline results) mirrors what ODinW did for natural images and gives other groups a reason to cite the thesis.</w:t>
      </w:r>
    </w:p>
    <w:p>
      <w:pPr>
        <w:spacing w:after="120" w:line="276"/>
        <w:jc w:val="both"/>
      </w:pPr>
      <w:r>
        <w:rPr>
          <w:rFonts w:ascii="Arial" w:cs="Arial" w:eastAsia="Arial" w:hAnsi="Arial"/>
          <w:sz w:val="20"/>
          <w:szCs w:val="20"/>
        </w:rPr>
        <w:t xml:space="preserve">Metrics consolidate into four families: detection (mAP@50, mAP@50–95, per-class AP, false positive and negative rates); continual (average incremental accuracy, forgetting measure, forward transfer, gap to joint training); privacy-input (sensitive-region masking rate, leakage inspection of masked outputs); and privacy-output, the new unlearning family (efficacy, retention, leakage probing as defined in Section 6.3). Every experiment reports seeds and variance; the continual experiments additionally report parameter growth per increment and inference latency, the two axes on which the v2 design should dominate the transformer-based competitors.</w:t>
      </w:r>
    </w:p>
    <w:p>
      <w:pPr>
        <w:pStyle w:val="Heading1"/>
        <w:spacing w:after="160" w:before="360"/>
      </w:pPr>
      <w:r>
        <w:rPr>
          <w:rFonts w:ascii="Arial" w:cs="Arial" w:eastAsia="Arial" w:hAnsi="Arial"/>
          <w:b/>
          <w:bCs/>
          <w:color w:val="1F3864"/>
          <w:sz w:val="30"/>
          <w:szCs w:val="30"/>
        </w:rPr>
        <w:t xml:space="preserve">9. Updated Publication Strategy</w:t>
      </w:r>
    </w:p>
    <w:p>
      <w:pPr>
        <w:spacing w:after="120" w:line="276"/>
        <w:jc w:val="both"/>
      </w:pPr>
      <w:r>
        <w:rPr>
          <w:rFonts w:ascii="Arial" w:cs="Arial" w:eastAsia="Arial" w:hAnsi="Arial"/>
          <w:sz w:val="20"/>
          <w:szCs w:val="20"/>
        </w:rPr>
        <w:t xml:space="preserve">Paper 1 (target: submission mid-2027; venue: ICIP, ICIEA, or an industrial-AI venue such as IEEE TII’s conference track): “PCB-DIL: A Domain-Incremental Benchmark and Modular Open-Vocabulary Baseline for Industrial Defect Detection.” Contribution: the benchmark, the board-as-branch framework on YOLOE-26s, comparison against DitHub-style class-modular adaptation. This paper establishes the platform.</w:t>
      </w:r>
    </w:p>
    <w:p>
      <w:pPr>
        <w:spacing w:after="120" w:line="276"/>
        <w:jc w:val="both"/>
      </w:pPr>
      <w:r>
        <w:rPr>
          <w:rFonts w:ascii="Arial" w:cs="Arial" w:eastAsia="Arial" w:hAnsi="Arial"/>
          <w:sz w:val="20"/>
          <w:szCs w:val="20"/>
        </w:rPr>
        <w:t xml:space="preserve">Paper 2 (target: late 2027; venue: stretch for CVPR/ECCV/AAAI, fallback WACV or IEEE TII journal): “Verifiable Module-Level Unlearning for NDA-Compliant Continual Defect Detection.” Contribution: the unlearning mechanism, the verification protocol, and the compliance case study grounded in the real Flex NDA process. This is the novelty flagship and should lead the thesis narrative.</w:t>
      </w:r>
    </w:p>
    <w:p>
      <w:pPr>
        <w:spacing w:after="120" w:line="276"/>
        <w:jc w:val="both"/>
      </w:pPr>
      <w:r>
        <w:rPr>
          <w:rFonts w:ascii="Arial" w:cs="Arial" w:eastAsia="Arial" w:hAnsi="Arial"/>
          <w:sz w:val="20"/>
          <w:szCs w:val="20"/>
        </w:rPr>
        <w:t xml:space="preserve">Paper 3 (target: 2028; journal consolidation in Pattern Recognition, ESWA, or IEEE TII): the complete OV-CIL-PCB v2 framework — privacy stack, module library, three-level pipeline, full ablations — forming the backbone of the thesis’ experimental chapters. Before each submission, rerun the novelty search of Section 2; the field’s pace makes a six-month-old landscape review unsafe.</w:t>
      </w:r>
    </w:p>
    <w:p>
      <w:r>
        <w:br w:type="page"/>
      </w:r>
    </w:p>
    <w:p>
      <w:pPr>
        <w:pStyle w:val="Heading1"/>
        <w:spacing w:after="160" w:before="360"/>
      </w:pPr>
      <w:r>
        <w:rPr>
          <w:rFonts w:ascii="Arial" w:cs="Arial" w:eastAsia="Arial" w:hAnsi="Arial"/>
          <w:b/>
          <w:bCs/>
          <w:color w:val="1F3864"/>
          <w:sz w:val="30"/>
          <w:szCs w:val="30"/>
        </w:rPr>
        <w:t xml:space="preserve">10. Annotated Reading List for Offline Study</w:t>
      </w:r>
    </w:p>
    <w:p>
      <w:pPr>
        <w:spacing w:after="120" w:line="276"/>
        <w:jc w:val="both"/>
      </w:pPr>
      <w:r>
        <w:rPr>
          <w:rFonts w:ascii="Arial" w:cs="Arial" w:eastAsia="Arial" w:hAnsi="Arial"/>
          <w:sz w:val="20"/>
          <w:szCs w:val="20"/>
        </w:rPr>
        <w:t xml:space="preserve">Papers are ordered by study priority. Where an arXiv identifier is given it has been verified against search results or is a well-established identifier; entries marked ‘search by title’ should be located on arXiv or the venue site by their exact title. Recommended pace: tier one (references 1–5) before the semester starts; tier two (6–12) during the framework-design months; tier three (13 onward) as background for the literature-review chapter.</w:t>
      </w:r>
    </w:p>
    <w:p>
      <w:pPr>
        <w:pStyle w:val="Heading2"/>
        <w:spacing w:after="120" w:before="280"/>
      </w:pPr>
      <w:r>
        <w:rPr>
          <w:rFonts w:ascii="Arial" w:cs="Arial" w:eastAsia="Arial" w:hAnsi="Arial"/>
          <w:b/>
          <w:bCs/>
          <w:color w:val="2E4B7A"/>
          <w:sz w:val="24"/>
          <w:szCs w:val="24"/>
        </w:rPr>
        <w:t xml:space="preserve">Tier 1 — essential, read first</w:t>
      </w:r>
    </w:p>
    <w:p>
      <w:pPr>
        <w:spacing w:after="120" w:line="276"/>
        <w:jc w:val="both"/>
      </w:pPr>
      <w:r>
        <w:rPr>
          <w:rFonts w:ascii="Arial" w:cs="Arial" w:eastAsia="Arial" w:hAnsi="Arial"/>
          <w:b/>
          <w:bCs/>
          <w:sz w:val="20"/>
          <w:szCs w:val="20"/>
        </w:rPr>
        <w:t xml:space="preserve">[1] </w:t>
      </w:r>
      <w:r>
        <w:rPr>
          <w:rFonts w:ascii="Arial" w:cs="Arial" w:eastAsia="Arial" w:hAnsi="Arial"/>
          <w:b/>
          <w:bCs/>
          <w:sz w:val="20"/>
          <w:szCs w:val="20"/>
        </w:rPr>
        <w:t xml:space="preserve">Cappellino, Mancusi, Mosconi, Porrello, Calderara, Cucchiara. “DitHub: A Modular Framework for Incremental Open-Vocabulary Object Detection.” NeurIPS 2025. arXiv:2503.09271. Code: aimagelab.github.io/DitHub.</w:t>
      </w:r>
    </w:p>
    <w:p>
      <w:pPr>
        <w:spacing w:after="160" w:line="276"/>
        <w:ind w:left="360"/>
        <w:jc w:val="both"/>
      </w:pPr>
      <w:r>
        <w:rPr>
          <w:rFonts w:ascii="Arial" w:cs="Arial" w:eastAsia="Arial" w:hAnsi="Arial"/>
          <w:color w:val="444444"/>
          <w:sz w:val="19"/>
          <w:szCs w:val="19"/>
        </w:rPr>
        <w:t xml:space="preserve">The closest competitor and the paper to know line by line. Study: the warmup-then-specialise module training, the fetch/merge workflow, the ODinW-13/ODinW-O protocol, and especially the module-subtraction unlearning experiment (W′ = W − αBA) that Section 6 of this document builds on. Note what it lacks: domains, industry, privacy, real-time base.</w:t>
      </w:r>
    </w:p>
    <w:p>
      <w:pPr>
        <w:spacing w:after="120" w:line="276"/>
        <w:jc w:val="both"/>
      </w:pPr>
      <w:r>
        <w:rPr>
          <w:rFonts w:ascii="Arial" w:cs="Arial" w:eastAsia="Arial" w:hAnsi="Arial"/>
          <w:b/>
          <w:bCs/>
          <w:sz w:val="20"/>
          <w:szCs w:val="20"/>
        </w:rPr>
        <w:t xml:space="preserve">[2] </w:t>
      </w:r>
      <w:r>
        <w:rPr>
          <w:rFonts w:ascii="Arial" w:cs="Arial" w:eastAsia="Arial" w:hAnsi="Arial"/>
          <w:b/>
          <w:bCs/>
          <w:sz w:val="20"/>
          <w:szCs w:val="20"/>
        </w:rPr>
        <w:t xml:space="preserve">“COVD: Continual Open-Vocabulary Object Detection with Novel Concept Injection.” 2026. arXiv:2605.27116.</w:t>
      </w:r>
    </w:p>
    <w:p>
      <w:pPr>
        <w:spacing w:after="160" w:line="276"/>
        <w:ind w:left="360"/>
        <w:jc w:val="both"/>
      </w:pPr>
      <w:r>
        <w:rPr>
          <w:rFonts w:ascii="Arial" w:cs="Arial" w:eastAsia="Arial" w:hAnsi="Arial"/>
          <w:color w:val="444444"/>
          <w:sz w:val="19"/>
          <w:szCs w:val="19"/>
        </w:rPr>
        <w:t xml:space="preserve">Adopt its problem formalisation (task sequence notation) and answer its three critiques of prompt/adapter/PEFT methods in the thesis. Its LLMDet base underlines the edge-deployment gap YOLOE-26s fills.</w:t>
      </w:r>
    </w:p>
    <w:p>
      <w:pPr>
        <w:spacing w:after="120" w:line="276"/>
        <w:jc w:val="both"/>
      </w:pPr>
      <w:r>
        <w:rPr>
          <w:rFonts w:ascii="Arial" w:cs="Arial" w:eastAsia="Arial" w:hAnsi="Arial"/>
          <w:b/>
          <w:bCs/>
          <w:sz w:val="20"/>
          <w:szCs w:val="20"/>
        </w:rPr>
        <w:t xml:space="preserve">[3] </w:t>
      </w:r>
      <w:r>
        <w:rPr>
          <w:rFonts w:ascii="Arial" w:cs="Arial" w:eastAsia="Arial" w:hAnsi="Arial"/>
          <w:b/>
          <w:bCs/>
          <w:sz w:val="20"/>
          <w:szCs w:val="20"/>
        </w:rPr>
        <w:t xml:space="preserve">“ODOV: Benchmark the Open-Domain Open-Vocabulary Object Detection.” CVPR 2026. Search by title (openaccess.thecvf.com).</w:t>
      </w:r>
    </w:p>
    <w:p>
      <w:pPr>
        <w:spacing w:after="160" w:line="276"/>
        <w:ind w:left="360"/>
        <w:jc w:val="both"/>
      </w:pPr>
      <w:r>
        <w:rPr>
          <w:rFonts w:ascii="Arial" w:cs="Arial" w:eastAsia="Arial" w:hAnsi="Arial"/>
          <w:color w:val="444444"/>
          <w:sz w:val="19"/>
          <w:szCs w:val="19"/>
        </w:rPr>
        <w:t xml:space="preserve">Validates the domain-adaptive framing and provides the benchmark-design template to imitate when constructing PCB-DIL. Read for protocol design, not methods.</w:t>
      </w:r>
    </w:p>
    <w:p>
      <w:pPr>
        <w:spacing w:after="120" w:line="276"/>
        <w:jc w:val="both"/>
      </w:pPr>
      <w:r>
        <w:rPr>
          <w:rFonts w:ascii="Arial" w:cs="Arial" w:eastAsia="Arial" w:hAnsi="Arial"/>
          <w:b/>
          <w:bCs/>
          <w:sz w:val="20"/>
          <w:szCs w:val="20"/>
        </w:rPr>
        <w:t xml:space="preserve">[4] </w:t>
      </w:r>
      <w:r>
        <w:rPr>
          <w:rFonts w:ascii="Arial" w:cs="Arial" w:eastAsia="Arial" w:hAnsi="Arial"/>
          <w:b/>
          <w:bCs/>
          <w:sz w:val="20"/>
          <w:szCs w:val="20"/>
        </w:rPr>
        <w:t xml:space="preserve">Hu et al. “LoRA: Low-Rank Adaptation of Large Language Models.” ICLR 2022. arXiv:2106.09685.</w:t>
      </w:r>
    </w:p>
    <w:p>
      <w:pPr>
        <w:spacing w:after="160" w:line="276"/>
        <w:ind w:left="360"/>
        <w:jc w:val="both"/>
      </w:pPr>
      <w:r>
        <w:rPr>
          <w:rFonts w:ascii="Arial" w:cs="Arial" w:eastAsia="Arial" w:hAnsi="Arial"/>
          <w:color w:val="444444"/>
          <w:sz w:val="19"/>
          <w:szCs w:val="19"/>
        </w:rPr>
        <w:t xml:space="preserve">The primitive underneath everything in v2. Focus on the rank ablations and the zero-initialisation of B; the merge property (W + BA) is the basis of the module library.</w:t>
      </w:r>
    </w:p>
    <w:p>
      <w:pPr>
        <w:spacing w:after="120" w:line="276"/>
        <w:jc w:val="both"/>
      </w:pPr>
      <w:r>
        <w:rPr>
          <w:rFonts w:ascii="Arial" w:cs="Arial" w:eastAsia="Arial" w:hAnsi="Arial"/>
          <w:b/>
          <w:bCs/>
          <w:sz w:val="20"/>
          <w:szCs w:val="20"/>
        </w:rPr>
        <w:t xml:space="preserve">[5] </w:t>
      </w:r>
      <w:r>
        <w:rPr>
          <w:rFonts w:ascii="Arial" w:cs="Arial" w:eastAsia="Arial" w:hAnsi="Arial"/>
          <w:b/>
          <w:bCs/>
          <w:sz w:val="20"/>
          <w:szCs w:val="20"/>
        </w:rPr>
        <w:t xml:space="preserve">“YOLOE: Real-Time Seeing Anything.” 2025. arXiv:2503.07465. Plus the Ultralytics YOLOE-26 documentation.</w:t>
      </w:r>
    </w:p>
    <w:p>
      <w:pPr>
        <w:spacing w:after="160" w:line="276"/>
        <w:ind w:left="360"/>
        <w:jc w:val="both"/>
      </w:pPr>
      <w:r>
        <w:rPr>
          <w:rFonts w:ascii="Arial" w:cs="Arial" w:eastAsia="Arial" w:hAnsi="Arial"/>
          <w:color w:val="444444"/>
          <w:sz w:val="19"/>
          <w:szCs w:val="19"/>
        </w:rPr>
        <w:t xml:space="preserve">The base model. Study RepRTA (text prompts), SAVPE (visual prompts), and the embedding head, since LoRA insertion points and the prompt pool sit directly on these.</w:t>
      </w:r>
    </w:p>
    <w:p>
      <w:pPr>
        <w:pStyle w:val="Heading2"/>
        <w:spacing w:after="120" w:before="280"/>
      </w:pPr>
      <w:r>
        <w:rPr>
          <w:rFonts w:ascii="Arial" w:cs="Arial" w:eastAsia="Arial" w:hAnsi="Arial"/>
          <w:b/>
          <w:bCs/>
          <w:color w:val="2E4B7A"/>
          <w:sz w:val="24"/>
          <w:szCs w:val="24"/>
        </w:rPr>
        <w:t xml:space="preserve">Tier 2 — framework-design support</w:t>
      </w:r>
    </w:p>
    <w:p>
      <w:pPr>
        <w:spacing w:after="120" w:line="276"/>
        <w:jc w:val="both"/>
      </w:pPr>
      <w:r>
        <w:rPr>
          <w:rFonts w:ascii="Arial" w:cs="Arial" w:eastAsia="Arial" w:hAnsi="Arial"/>
          <w:b/>
          <w:bCs/>
          <w:sz w:val="20"/>
          <w:szCs w:val="20"/>
        </w:rPr>
        <w:t xml:space="preserve">[6] </w:t>
      </w:r>
      <w:r>
        <w:rPr>
          <w:rFonts w:ascii="Arial" w:cs="Arial" w:eastAsia="Arial" w:hAnsi="Arial"/>
          <w:b/>
          <w:bCs/>
          <w:sz w:val="20"/>
          <w:szCs w:val="20"/>
        </w:rPr>
        <w:t xml:space="preserve">ICML 2026 LoRA-continual cluster: “Task-Driven Subspace Decomposition for Knowledge Sharing and Isolation in LoRA-based Continual Learning”; “Spectral Imbalance Causes Forgetting in Low-Rank Continual Adaptation”; “KeepLoRA” (Luo et al., 2026). Search by title.</w:t>
      </w:r>
    </w:p>
    <w:p>
      <w:pPr>
        <w:spacing w:after="160" w:line="276"/>
        <w:ind w:left="360"/>
        <w:jc w:val="both"/>
      </w:pPr>
      <w:r>
        <w:rPr>
          <w:rFonts w:ascii="Arial" w:cs="Arial" w:eastAsia="Arial" w:hAnsi="Arial"/>
          <w:color w:val="444444"/>
          <w:sz w:val="19"/>
          <w:szCs w:val="19"/>
        </w:rPr>
        <w:t xml:space="preserve">The theory of module interference. Extract the subspace-overlap measures and regularisers; these replace the v1 orthogonal-projection heuristic with citable machinery.</w:t>
      </w:r>
    </w:p>
    <w:p>
      <w:pPr>
        <w:spacing w:after="120" w:line="276"/>
        <w:jc w:val="both"/>
      </w:pPr>
      <w:r>
        <w:rPr>
          <w:rFonts w:ascii="Arial" w:cs="Arial" w:eastAsia="Arial" w:hAnsi="Arial"/>
          <w:b/>
          <w:bCs/>
          <w:sz w:val="20"/>
          <w:szCs w:val="20"/>
        </w:rPr>
        <w:t xml:space="preserve">[7] </w:t>
      </w:r>
      <w:r>
        <w:rPr>
          <w:rFonts w:ascii="Arial" w:cs="Arial" w:eastAsia="Arial" w:hAnsi="Arial"/>
          <w:b/>
          <w:bCs/>
          <w:sz w:val="20"/>
          <w:szCs w:val="20"/>
        </w:rPr>
        <w:t xml:space="preserve">Zhang et al. “SLCA: Slow Learner with Classifier Alignment for Continual Learning on a Pre-trained Model.” ICCV 2023. arXiv:2303.05118.</w:t>
      </w:r>
    </w:p>
    <w:p>
      <w:pPr>
        <w:spacing w:after="160" w:line="276"/>
        <w:ind w:left="360"/>
        <w:jc w:val="both"/>
      </w:pPr>
      <w:r>
        <w:rPr>
          <w:rFonts w:ascii="Arial" w:cs="Arial" w:eastAsia="Arial" w:hAnsi="Arial"/>
          <w:color w:val="444444"/>
          <w:sz w:val="19"/>
          <w:szCs w:val="19"/>
        </w:rPr>
        <w:t xml:space="preserve">Kept mechanism. The two-orders-of-magnitude learning-rate split justifies the embedding-head tuning regime; the classifier-alignment idea maps onto prototype recomputation in the prompt pool.</w:t>
      </w:r>
    </w:p>
    <w:p>
      <w:pPr>
        <w:spacing w:after="120" w:line="276"/>
        <w:jc w:val="both"/>
      </w:pPr>
      <w:r>
        <w:rPr>
          <w:rFonts w:ascii="Arial" w:cs="Arial" w:eastAsia="Arial" w:hAnsi="Arial"/>
          <w:b/>
          <w:bCs/>
          <w:sz w:val="20"/>
          <w:szCs w:val="20"/>
        </w:rPr>
        <w:t xml:space="preserve">[8] </w:t>
      </w:r>
      <w:r>
        <w:rPr>
          <w:rFonts w:ascii="Arial" w:cs="Arial" w:eastAsia="Arial" w:hAnsi="Arial"/>
          <w:b/>
          <w:bCs/>
          <w:sz w:val="20"/>
          <w:szCs w:val="20"/>
        </w:rPr>
        <w:t xml:space="preserve">Zhou et al. “Revisiting Class-Incremental Learning with Pre-Trained Models” (SimpleCIL / APER). arXiv:2303.07338.</w:t>
      </w:r>
    </w:p>
    <w:p>
      <w:pPr>
        <w:spacing w:after="160" w:line="276"/>
        <w:ind w:left="360"/>
        <w:jc w:val="both"/>
      </w:pPr>
      <w:r>
        <w:rPr>
          <w:rFonts w:ascii="Arial" w:cs="Arial" w:eastAsia="Arial" w:hAnsi="Arial"/>
          <w:color w:val="444444"/>
          <w:sz w:val="19"/>
          <w:szCs w:val="19"/>
        </w:rPr>
        <w:t xml:space="preserve">The mandatory sanity baseline: frozen features plus prototypes. Run it on PCB data before anything else — it calibrates how much of the problem the backbone already solves.</w:t>
      </w:r>
    </w:p>
    <w:p>
      <w:pPr>
        <w:spacing w:after="120" w:line="276"/>
        <w:jc w:val="both"/>
      </w:pPr>
      <w:r>
        <w:rPr>
          <w:rFonts w:ascii="Arial" w:cs="Arial" w:eastAsia="Arial" w:hAnsi="Arial"/>
          <w:b/>
          <w:bCs/>
          <w:sz w:val="20"/>
          <w:szCs w:val="20"/>
        </w:rPr>
        <w:t xml:space="preserve">[9] </w:t>
      </w:r>
      <w:r>
        <w:rPr>
          <w:rFonts w:ascii="Arial" w:cs="Arial" w:eastAsia="Arial" w:hAnsi="Arial"/>
          <w:b/>
          <w:bCs/>
          <w:sz w:val="20"/>
          <w:szCs w:val="20"/>
        </w:rPr>
        <w:t xml:space="preserve">Zhou et al. “Expandable Subspace Ensemble for Pre-Trained Model-Based Class-Incremental Learning” (EASE). CVPR 2024. arXiv:2403.12030.</w:t>
      </w:r>
    </w:p>
    <w:p>
      <w:pPr>
        <w:spacing w:after="160" w:line="276"/>
        <w:ind w:left="360"/>
        <w:jc w:val="both"/>
      </w:pPr>
      <w:r>
        <w:rPr>
          <w:rFonts w:ascii="Arial" w:cs="Arial" w:eastAsia="Arial" w:hAnsi="Arial"/>
          <w:color w:val="444444"/>
          <w:sz w:val="19"/>
          <w:szCs w:val="19"/>
        </w:rPr>
        <w:t xml:space="preserve">The origin of the v1 adapter-per-task idea; still worth citing as the bridge from adapters to the LoRA library.</w:t>
      </w:r>
    </w:p>
    <w:p>
      <w:pPr>
        <w:spacing w:after="120" w:line="276"/>
        <w:jc w:val="both"/>
      </w:pPr>
      <w:r>
        <w:rPr>
          <w:rFonts w:ascii="Arial" w:cs="Arial" w:eastAsia="Arial" w:hAnsi="Arial"/>
          <w:b/>
          <w:bCs/>
          <w:sz w:val="20"/>
          <w:szCs w:val="20"/>
        </w:rPr>
        <w:t xml:space="preserve">[10] </w:t>
      </w:r>
      <w:r>
        <w:rPr>
          <w:rFonts w:ascii="Arial" w:cs="Arial" w:eastAsia="Arial" w:hAnsi="Arial"/>
          <w:b/>
          <w:bCs/>
          <w:sz w:val="20"/>
          <w:szCs w:val="20"/>
        </w:rPr>
        <w:t xml:space="preserve">“YOLO-IOD” (AAAI 2026) and “QM-DETR” (AAAI 2026). Search by title.</w:t>
      </w:r>
    </w:p>
    <w:p>
      <w:pPr>
        <w:spacing w:after="160" w:line="276"/>
        <w:ind w:left="360"/>
        <w:jc w:val="both"/>
      </w:pPr>
      <w:r>
        <w:rPr>
          <w:rFonts w:ascii="Arial" w:cs="Arial" w:eastAsia="Arial" w:hAnsi="Arial"/>
          <w:color w:val="444444"/>
          <w:sz w:val="19"/>
          <w:szCs w:val="19"/>
        </w:rPr>
        <w:t xml:space="preserve">The incremental-detection baselines for the class axis. From YOLO-IOD, reuse CPR pseudo-labelling against background shift; note it keeps a fixed classifier, which the embedding-matching design avoids.</w:t>
      </w:r>
    </w:p>
    <w:p>
      <w:pPr>
        <w:spacing w:after="120" w:line="276"/>
        <w:jc w:val="both"/>
      </w:pPr>
      <w:r>
        <w:rPr>
          <w:rFonts w:ascii="Arial" w:cs="Arial" w:eastAsia="Arial" w:hAnsi="Arial"/>
          <w:b/>
          <w:bCs/>
          <w:sz w:val="20"/>
          <w:szCs w:val="20"/>
        </w:rPr>
        <w:t xml:space="preserve">[11] </w:t>
      </w:r>
      <w:r>
        <w:rPr>
          <w:rFonts w:ascii="Arial" w:cs="Arial" w:eastAsia="Arial" w:hAnsi="Arial"/>
          <w:b/>
          <w:bCs/>
          <w:sz w:val="20"/>
          <w:szCs w:val="20"/>
        </w:rPr>
        <w:t xml:space="preserve">Liu et al. “Continual Detection Transformer for Incremental Object Detection” (CL-DETR). CVPR 2023. arXiv:2304.03110.</w:t>
      </w:r>
    </w:p>
    <w:p>
      <w:pPr>
        <w:spacing w:after="160" w:line="276"/>
        <w:ind w:left="360"/>
        <w:jc w:val="both"/>
      </w:pPr>
      <w:r>
        <w:rPr>
          <w:rFonts w:ascii="Arial" w:cs="Arial" w:eastAsia="Arial" w:hAnsi="Arial"/>
          <w:color w:val="444444"/>
          <w:sz w:val="19"/>
          <w:szCs w:val="19"/>
        </w:rPr>
        <w:t xml:space="preserve">Background on distillation for incremental detection (DKD, calibrated replay); informs the embedding-distillation loss design.</w:t>
      </w:r>
    </w:p>
    <w:p>
      <w:pPr>
        <w:spacing w:after="120" w:line="276"/>
        <w:jc w:val="both"/>
      </w:pPr>
      <w:r>
        <w:rPr>
          <w:rFonts w:ascii="Arial" w:cs="Arial" w:eastAsia="Arial" w:hAnsi="Arial"/>
          <w:b/>
          <w:bCs/>
          <w:sz w:val="20"/>
          <w:szCs w:val="20"/>
        </w:rPr>
        <w:t xml:space="preserve">[12] </w:t>
      </w:r>
      <w:r>
        <w:rPr>
          <w:rFonts w:ascii="Arial" w:cs="Arial" w:eastAsia="Arial" w:hAnsi="Arial"/>
          <w:b/>
          <w:bCs/>
          <w:sz w:val="20"/>
          <w:szCs w:val="20"/>
        </w:rPr>
        <w:t xml:space="preserve">“Anytime Continual Learning for Open Vocabulary Classification.” ECCV 2024. arXiv:2409.08518.</w:t>
      </w:r>
    </w:p>
    <w:p>
      <w:pPr>
        <w:spacing w:after="160" w:line="276"/>
        <w:ind w:left="360"/>
        <w:jc w:val="both"/>
      </w:pPr>
      <w:r>
        <w:rPr>
          <w:rFonts w:ascii="Arial" w:cs="Arial" w:eastAsia="Arial" w:hAnsi="Arial"/>
          <w:color w:val="444444"/>
          <w:sz w:val="19"/>
          <w:szCs w:val="19"/>
        </w:rPr>
        <w:t xml:space="preserve">The dynamic weighting between tuned and frozen open-vocabulary predictions is a candidate refinement for Level 1/2 blending; its privacy-motivated feature compression supports the privacy narrative.</w:t>
      </w:r>
    </w:p>
    <w:p>
      <w:pPr>
        <w:pStyle w:val="Heading2"/>
        <w:spacing w:after="120" w:before="280"/>
      </w:pPr>
      <w:r>
        <w:rPr>
          <w:rFonts w:ascii="Arial" w:cs="Arial" w:eastAsia="Arial" w:hAnsi="Arial"/>
          <w:b/>
          <w:bCs/>
          <w:color w:val="2E4B7A"/>
          <w:sz w:val="24"/>
          <w:szCs w:val="24"/>
        </w:rPr>
        <w:t xml:space="preserve">Tier 3 — literature-review background</w:t>
      </w:r>
    </w:p>
    <w:p>
      <w:pPr>
        <w:spacing w:after="120" w:line="276"/>
        <w:jc w:val="both"/>
      </w:pPr>
      <w:r>
        <w:rPr>
          <w:rFonts w:ascii="Arial" w:cs="Arial" w:eastAsia="Arial" w:hAnsi="Arial"/>
          <w:b/>
          <w:bCs/>
          <w:sz w:val="20"/>
          <w:szCs w:val="20"/>
        </w:rPr>
        <w:t xml:space="preserve">[13] </w:t>
      </w:r>
      <w:r>
        <w:rPr>
          <w:rFonts w:ascii="Arial" w:cs="Arial" w:eastAsia="Arial" w:hAnsi="Arial"/>
          <w:b/>
          <w:bCs/>
          <w:sz w:val="20"/>
          <w:szCs w:val="20"/>
        </w:rPr>
        <w:t xml:space="preserve">“Continual Learning for VLMs: A Survey and Taxonomy Beyond Forgetting.” 2025. arXiv:2508.04227.</w:t>
      </w:r>
    </w:p>
    <w:p>
      <w:pPr>
        <w:spacing w:after="160" w:line="276"/>
        <w:ind w:left="360"/>
        <w:jc w:val="both"/>
      </w:pPr>
      <w:r>
        <w:rPr>
          <w:rFonts w:ascii="Arial" w:cs="Arial" w:eastAsia="Arial" w:hAnsi="Arial"/>
          <w:color w:val="444444"/>
          <w:sz w:val="19"/>
          <w:szCs w:val="19"/>
        </w:rPr>
        <w:t xml:space="preserve">Adopt its PEFT-versus-prompt taxonomy for the thesis related-work chapter.</w:t>
      </w:r>
    </w:p>
    <w:p>
      <w:pPr>
        <w:spacing w:after="120" w:line="276"/>
        <w:jc w:val="both"/>
      </w:pPr>
      <w:r>
        <w:rPr>
          <w:rFonts w:ascii="Arial" w:cs="Arial" w:eastAsia="Arial" w:hAnsi="Arial"/>
          <w:b/>
          <w:bCs/>
          <w:sz w:val="20"/>
          <w:szCs w:val="20"/>
        </w:rPr>
        <w:t xml:space="preserve">[14] </w:t>
      </w:r>
      <w:r>
        <w:rPr>
          <w:rFonts w:ascii="Arial" w:cs="Arial" w:eastAsia="Arial" w:hAnsi="Arial"/>
          <w:b/>
          <w:bCs/>
          <w:sz w:val="20"/>
          <w:szCs w:val="20"/>
        </w:rPr>
        <w:t xml:space="preserve">Kirkpatrick et al., EWC, arXiv:1612.00796 · Zenke et al., SI, arXiv:1703.04200 · Rebuffi et al., iCaRL, arXiv:1611.07725 · Prabhu et al., GDumb, ECCV 2020 · Mallya &amp; Lazebnik, PackNet, arXiv:1711.05769 · Yoon et al., DEN, arXiv:1708.01547.</w:t>
      </w:r>
    </w:p>
    <w:p>
      <w:pPr>
        <w:spacing w:after="160" w:line="276"/>
        <w:ind w:left="360"/>
        <w:jc w:val="both"/>
      </w:pPr>
      <w:r>
        <w:rPr>
          <w:rFonts w:ascii="Arial" w:cs="Arial" w:eastAsia="Arial" w:hAnsi="Arial"/>
          <w:color w:val="444444"/>
          <w:sz w:val="19"/>
          <w:szCs w:val="19"/>
        </w:rPr>
        <w:t xml:space="preserve">The classical continual-learning canon, already studied in Semester 1; cite as the historical foundation and as experimental baselines (EWC, iCaRL, GDumb).</w:t>
      </w:r>
    </w:p>
    <w:p>
      <w:pPr>
        <w:spacing w:after="120" w:line="276"/>
        <w:jc w:val="both"/>
      </w:pPr>
      <w:r>
        <w:rPr>
          <w:rFonts w:ascii="Arial" w:cs="Arial" w:eastAsia="Arial" w:hAnsi="Arial"/>
          <w:b/>
          <w:bCs/>
          <w:sz w:val="20"/>
          <w:szCs w:val="20"/>
        </w:rPr>
        <w:t xml:space="preserve">[15] </w:t>
      </w:r>
      <w:r>
        <w:rPr>
          <w:rFonts w:ascii="Arial" w:cs="Arial" w:eastAsia="Arial" w:hAnsi="Arial"/>
          <w:b/>
          <w:bCs/>
          <w:sz w:val="20"/>
          <w:szCs w:val="20"/>
        </w:rPr>
        <w:t xml:space="preserve">Wang et al., L2P, CVPR 2022, arXiv:2112.08654 · Wang et al., DualPrompt, ECCV 2022, arXiv:2204.04799 · Smith et al., CODA-Prompt, CVPR 2023, arXiv:2211.13218.</w:t>
      </w:r>
    </w:p>
    <w:p>
      <w:pPr>
        <w:spacing w:after="160" w:line="276"/>
        <w:ind w:left="360"/>
        <w:jc w:val="both"/>
      </w:pPr>
      <w:r>
        <w:rPr>
          <w:rFonts w:ascii="Arial" w:cs="Arial" w:eastAsia="Arial" w:hAnsi="Arial"/>
          <w:color w:val="444444"/>
          <w:sz w:val="19"/>
          <w:szCs w:val="19"/>
        </w:rPr>
        <w:t xml:space="preserve">The prompt-based generation; contrast with the v2 position that prompts index semantics while LoRA carries the learning.</w:t>
      </w:r>
    </w:p>
    <w:p>
      <w:pPr>
        <w:spacing w:after="120" w:line="276"/>
        <w:jc w:val="both"/>
      </w:pPr>
      <w:r>
        <w:rPr>
          <w:rFonts w:ascii="Arial" w:cs="Arial" w:eastAsia="Arial" w:hAnsi="Arial"/>
          <w:b/>
          <w:bCs/>
          <w:sz w:val="20"/>
          <w:szCs w:val="20"/>
        </w:rPr>
        <w:t xml:space="preserve">[16] </w:t>
      </w:r>
      <w:r>
        <w:rPr>
          <w:rFonts w:ascii="Arial" w:cs="Arial" w:eastAsia="Arial" w:hAnsi="Arial"/>
          <w:b/>
          <w:bCs/>
          <w:sz w:val="20"/>
          <w:szCs w:val="20"/>
        </w:rPr>
        <w:t xml:space="preserve">Radford et al., CLIP, arXiv:2103.00020 · Oquab et al., DINOv2, arXiv:2304.07193 · Liu et al., Grounding DINO, arXiv:2303.05499 · Cheng et al., YOLO-World, CVPR 2024, arXiv:2401.17270.</w:t>
      </w:r>
    </w:p>
    <w:p>
      <w:pPr>
        <w:spacing w:after="160" w:line="276"/>
        <w:ind w:left="360"/>
        <w:jc w:val="both"/>
      </w:pPr>
      <w:r>
        <w:rPr>
          <w:rFonts w:ascii="Arial" w:cs="Arial" w:eastAsia="Arial" w:hAnsi="Arial"/>
          <w:color w:val="444444"/>
          <w:sz w:val="19"/>
          <w:szCs w:val="19"/>
        </w:rPr>
        <w:t xml:space="preserve">The vision-language foundations: CLIP for the shared embedding space, Grounding DINO as DitHub’s base (know the competitor’s platform), YOLO-World as YOLOE’s predecessor.</w:t>
      </w:r>
    </w:p>
    <w:p>
      <w:pPr>
        <w:spacing w:after="120" w:line="276"/>
        <w:jc w:val="both"/>
      </w:pPr>
      <w:r>
        <w:rPr>
          <w:rFonts w:ascii="Arial" w:cs="Arial" w:eastAsia="Arial" w:hAnsi="Arial"/>
          <w:b/>
          <w:bCs/>
          <w:sz w:val="20"/>
          <w:szCs w:val="20"/>
        </w:rPr>
        <w:t xml:space="preserve">[17] </w:t>
      </w:r>
      <w:r>
        <w:rPr>
          <w:rFonts w:ascii="Arial" w:cs="Arial" w:eastAsia="Arial" w:hAnsi="Arial"/>
          <w:b/>
          <w:bCs/>
          <w:sz w:val="20"/>
          <w:szCs w:val="20"/>
        </w:rPr>
        <w:t xml:space="preserve">Machine unlearning background: Bourtoule et al., “Machine Unlearning” (SISA), IEEE S&amp;P 2021, arXiv:1912.03817; plus a recent unlearning survey of your choice from arXiv (search “machine unlearning survey 2025”).</w:t>
      </w:r>
    </w:p>
    <w:p>
      <w:pPr>
        <w:spacing w:after="160" w:line="276"/>
        <w:ind w:left="360"/>
        <w:jc w:val="both"/>
      </w:pPr>
      <w:r>
        <w:rPr>
          <w:rFonts w:ascii="Arial" w:cs="Arial" w:eastAsia="Arial" w:hAnsi="Arial"/>
          <w:color w:val="444444"/>
          <w:sz w:val="19"/>
          <w:szCs w:val="19"/>
        </w:rPr>
        <w:t xml:space="preserve">Required grounding for Paper 2: the exact-versus-approximate unlearning distinction, and membership-inference evaluation, which Section 6.3’s protocol adapts to detection.</w:t>
      </w:r>
    </w:p>
    <w:p>
      <w:pPr>
        <w:spacing w:after="120" w:line="276"/>
        <w:jc w:val="both"/>
      </w:pPr>
      <w:r>
        <w:rPr>
          <w:rFonts w:ascii="Arial" w:cs="Arial" w:eastAsia="Arial" w:hAnsi="Arial"/>
          <w:i/>
          <w:iCs/>
          <w:sz w:val="20"/>
          <w:szCs w:val="20"/>
        </w:rPr>
        <w:t xml:space="preserve">Final note on study method: for each tier-one paper, produce a one-page structured note — problem, method, evidence, limitations, and one sentence on how OV-CIL-PCB v2 differs — before moving on. Those five notes become the skeleton of the related-work chapter and of every rebuttal letter to come.</w:t>
      </w:r>
    </w:p>
    <w:sectPr>
      <w:pgSz w:w="11906" w:h="16838"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2026-08-23T08:00:58.820Z</dcterms:created>
  <dcterms:modified xsi:type="dcterms:W3CDTF">2026-08-23T08:00:58.833Z</dcterms:modified>
</cp:coreProperties>
</file>

<file path=docProps/custom.xml><?xml version="1.0" encoding="utf-8"?>
<Properties xmlns="http://schemas.openxmlformats.org/officeDocument/2006/custom-properties" xmlns:vt="http://schemas.openxmlformats.org/officeDocument/2006/docPropsVTypes"/>
</file>