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Firstly, Calculate the corresponding satellite zenith angle and satellite azimuth angle based on the latitude and longitude of the site, which will be used in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cda_pixel</w:t>
      </w:r>
      <w:r>
        <w:rPr>
          <w:rFonts w:hint="default"/>
          <w:lang w:val="en-US"/>
        </w:rPr>
        <w:t xml:space="preserve"> function.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Secondly, Determine the surface type of the site. We mainly set up two types of surface types for photovoltaic plants: </w:t>
      </w:r>
      <w:r>
        <w:rPr>
          <w:rFonts w:hint="default" w:ascii="Times New Roman Bold" w:hAnsi="Times New Roman Bold" w:cs="Times New Roman Bold"/>
          <w:b/>
          <w:bCs/>
          <w:lang w:val="en-US"/>
        </w:rPr>
        <w:t>land</w:t>
      </w:r>
      <w:r>
        <w:rPr>
          <w:rFonts w:hint="default"/>
          <w:lang w:val="en-US"/>
        </w:rPr>
        <w:t xml:space="preserve"> and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desert </w:t>
      </w:r>
      <w:r>
        <w:rPr>
          <w:rFonts w:hint="default"/>
          <w:lang w:val="en-US"/>
        </w:rPr>
        <w:t>surface. Different surface types have different albedos, which can affect cloud detection.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  <w:lang w:val="en-US"/>
        </w:rPr>
        <w:t xml:space="preserve">Thirdly, set cloud detection parameters (dlh20, dl11_12hi, dl11_4lo, dlref1, dlvrat). 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The parameters corresponding to each site may vary and need to be adjusted to achieve the best cloud detection effect</w:t>
      </w:r>
      <w:r>
        <w:rPr>
          <w:rFonts w:hint="eastAsia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(All parameters used in this manuscript are in the </w:t>
      </w:r>
      <w:r>
        <w:rPr>
          <w:rFonts w:hint="default" w:ascii="Times New Roman Bold" w:hAnsi="Times New Roman Bold" w:eastAsia="PingFang SC" w:cs="Times New Roman Bold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Parameter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file)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E76ABA"/>
    <w:rsid w:val="7FBB443E"/>
    <w:rsid w:val="7FBD0180"/>
    <w:rsid w:val="C57EDF2C"/>
    <w:rsid w:val="FDEFC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微软雅黑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xiaoxia/Library/Containers/com.kingsoft.wpsoffice.mac/Data/builtin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2008-12-27T00:47:00Z</dcterms:created>
  <dc:creator>zhaoxinlei</dc:creator>
  <cp:lastModifiedBy>Wonder-Xp-Pink</cp:lastModifiedBy>
  <dcterms:modified xsi:type="dcterms:W3CDTF">2023-10-01T16:51:55Z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BF49FF41C063BDE8C43219650D2E7C65_42</vt:lpwstr>
  </property>
</Properties>
</file>