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B27160" w14:textId="77777777" w:rsidR="001E0C41" w:rsidRPr="00B070B5" w:rsidRDefault="001E0C41" w:rsidP="001E0C41">
      <w:pPr>
        <w:spacing w:after="0" w:line="240" w:lineRule="auto"/>
        <w:jc w:val="center"/>
        <w:outlineLvl w:val="0"/>
      </w:pPr>
      <w:bookmarkStart w:id="0" w:name="_Toc128830436"/>
      <w:bookmarkStart w:id="1" w:name="_Toc128831421"/>
      <w:r w:rsidRPr="00AA3116">
        <w:t>Учреждение образования</w:t>
      </w:r>
      <w:bookmarkEnd w:id="0"/>
      <w:bookmarkEnd w:id="1"/>
      <w:r w:rsidRPr="00AA3116">
        <w:t xml:space="preserve"> </w:t>
      </w:r>
    </w:p>
    <w:p w14:paraId="6EB425F9" w14:textId="77777777" w:rsidR="001E0C41" w:rsidRPr="00AA3116" w:rsidRDefault="001E0C41" w:rsidP="001E0C41">
      <w:pPr>
        <w:spacing w:after="0" w:line="240" w:lineRule="auto"/>
        <w:jc w:val="center"/>
      </w:pPr>
      <w:r w:rsidRPr="00AA3116">
        <w:t>«</w:t>
      </w:r>
      <w:r>
        <w:t>Полоцкий государственный университет имени Евфросинии Полоцкой</w:t>
      </w:r>
      <w:r w:rsidRPr="00AA3116">
        <w:t>»</w:t>
      </w:r>
    </w:p>
    <w:p w14:paraId="1021A0D8" w14:textId="77777777" w:rsidR="001E0C41" w:rsidRDefault="001E0C41" w:rsidP="001E0C41">
      <w:pPr>
        <w:spacing w:after="0" w:line="240" w:lineRule="auto"/>
        <w:jc w:val="center"/>
      </w:pPr>
    </w:p>
    <w:p w14:paraId="75243AC8" w14:textId="77777777" w:rsidR="001E0C41" w:rsidRDefault="001E0C41" w:rsidP="001E0C41">
      <w:pPr>
        <w:spacing w:after="0" w:line="240" w:lineRule="auto"/>
        <w:jc w:val="center"/>
      </w:pPr>
    </w:p>
    <w:p w14:paraId="09F01354" w14:textId="77777777" w:rsidR="001E0C41" w:rsidRDefault="001E0C41" w:rsidP="001E0C41">
      <w:pPr>
        <w:spacing w:after="0" w:line="240" w:lineRule="auto"/>
        <w:jc w:val="center"/>
      </w:pPr>
    </w:p>
    <w:p w14:paraId="5A223CFB" w14:textId="77777777" w:rsidR="001E0C41" w:rsidRDefault="001E0C41" w:rsidP="001E0C41">
      <w:pPr>
        <w:spacing w:after="0" w:line="240" w:lineRule="auto"/>
        <w:jc w:val="center"/>
      </w:pPr>
    </w:p>
    <w:p w14:paraId="6E8A3D40" w14:textId="3CC2E0FB" w:rsidR="001E0C41" w:rsidRPr="005B4FAA" w:rsidRDefault="001E0C41" w:rsidP="001E0C41">
      <w:pPr>
        <w:spacing w:after="0" w:line="240" w:lineRule="auto"/>
        <w:jc w:val="right"/>
        <w:rPr>
          <w:lang w:val="ru-RU"/>
        </w:rPr>
      </w:pPr>
      <w:r>
        <w:t xml:space="preserve">Факультет </w:t>
      </w:r>
      <w:r w:rsidR="005B4FAA">
        <w:rPr>
          <w:lang w:val="ru-RU"/>
        </w:rPr>
        <w:t>информационных технологий</w:t>
      </w:r>
    </w:p>
    <w:p w14:paraId="485CB8CF" w14:textId="11A2255F" w:rsidR="001E0C41" w:rsidRPr="007B01E8" w:rsidRDefault="001E0C41" w:rsidP="001E0C41">
      <w:pPr>
        <w:spacing w:after="0" w:line="240" w:lineRule="auto"/>
        <w:jc w:val="right"/>
        <w:outlineLvl w:val="0"/>
      </w:pPr>
      <w:bookmarkStart w:id="2" w:name="_Toc128830437"/>
      <w:bookmarkStart w:id="3" w:name="_Toc128831422"/>
      <w:r w:rsidRPr="00AA3116">
        <w:t xml:space="preserve">Кафедра </w:t>
      </w:r>
      <w:bookmarkEnd w:id="2"/>
      <w:bookmarkEnd w:id="3"/>
      <w:r w:rsidR="005B4FAA">
        <w:rPr>
          <w:lang w:val="ru-RU"/>
        </w:rPr>
        <w:t>вычислительных машин систем и сетей</w:t>
      </w:r>
    </w:p>
    <w:p w14:paraId="282AC115" w14:textId="77777777" w:rsidR="001E0C41" w:rsidRPr="00AA3116" w:rsidRDefault="001E0C41" w:rsidP="001E0C41">
      <w:pPr>
        <w:spacing w:after="0" w:line="240" w:lineRule="auto"/>
      </w:pPr>
    </w:p>
    <w:p w14:paraId="0B3DFAFB" w14:textId="77777777" w:rsidR="001E0C41" w:rsidRPr="00AA3116" w:rsidRDefault="001E0C41" w:rsidP="001E0C41">
      <w:pPr>
        <w:spacing w:after="0" w:line="240" w:lineRule="auto"/>
      </w:pPr>
    </w:p>
    <w:p w14:paraId="63D21313" w14:textId="77777777" w:rsidR="001E0C41" w:rsidRPr="00AA3116" w:rsidRDefault="001E0C41" w:rsidP="001E0C41">
      <w:pPr>
        <w:spacing w:after="0" w:line="240" w:lineRule="auto"/>
        <w:jc w:val="center"/>
      </w:pPr>
    </w:p>
    <w:p w14:paraId="0D3299F8" w14:textId="77777777" w:rsidR="001E0C41" w:rsidRPr="00AA3116" w:rsidRDefault="001E0C41" w:rsidP="001E0C41">
      <w:pPr>
        <w:spacing w:after="0" w:line="240" w:lineRule="auto"/>
        <w:jc w:val="center"/>
      </w:pPr>
    </w:p>
    <w:p w14:paraId="69497F4E" w14:textId="77777777" w:rsidR="001E0C41" w:rsidRPr="00AA3116" w:rsidRDefault="001E0C41" w:rsidP="001E0C41">
      <w:pPr>
        <w:spacing w:after="0" w:line="240" w:lineRule="auto"/>
        <w:jc w:val="center"/>
      </w:pPr>
    </w:p>
    <w:p w14:paraId="43A5C6BA" w14:textId="77777777" w:rsidR="001E0C41" w:rsidRPr="00AA3116" w:rsidRDefault="001E0C41" w:rsidP="001E0C41">
      <w:pPr>
        <w:spacing w:after="0" w:line="240" w:lineRule="auto"/>
        <w:jc w:val="center"/>
      </w:pPr>
    </w:p>
    <w:p w14:paraId="49C59CEB" w14:textId="77777777" w:rsidR="001E0C41" w:rsidRPr="00AA3116" w:rsidRDefault="001E0C41" w:rsidP="001E0C41">
      <w:pPr>
        <w:spacing w:after="0" w:line="240" w:lineRule="auto"/>
        <w:jc w:val="center"/>
      </w:pPr>
    </w:p>
    <w:p w14:paraId="3D21CAEC" w14:textId="77777777" w:rsidR="001E0C41" w:rsidRPr="00B070B5" w:rsidRDefault="001E0C41" w:rsidP="001E0C41">
      <w:pPr>
        <w:spacing w:after="0" w:line="240" w:lineRule="auto"/>
        <w:jc w:val="center"/>
      </w:pPr>
    </w:p>
    <w:p w14:paraId="54729A9F" w14:textId="77777777" w:rsidR="001E0C41" w:rsidRPr="00B070B5" w:rsidRDefault="001E0C41" w:rsidP="001E0C41">
      <w:pPr>
        <w:spacing w:after="0" w:line="240" w:lineRule="auto"/>
        <w:jc w:val="center"/>
      </w:pPr>
      <w:r>
        <w:t>ОТЧЕТ</w:t>
      </w:r>
    </w:p>
    <w:p w14:paraId="4BA2AC43" w14:textId="77777777" w:rsidR="001E0C41" w:rsidRDefault="001E0C41" w:rsidP="001E0C41">
      <w:pPr>
        <w:spacing w:after="0" w:line="240" w:lineRule="auto"/>
        <w:jc w:val="center"/>
      </w:pPr>
      <w:r>
        <w:t>По лабораторной работе № 3</w:t>
      </w:r>
    </w:p>
    <w:p w14:paraId="3AB772C3" w14:textId="5DC3ECE4" w:rsidR="001E0C41" w:rsidRPr="001E0C41" w:rsidRDefault="001E0C41" w:rsidP="001E0C41">
      <w:pPr>
        <w:spacing w:after="0" w:line="240" w:lineRule="auto"/>
        <w:jc w:val="center"/>
      </w:pPr>
      <w:r w:rsidRPr="00C77274">
        <w:rPr>
          <w:b/>
        </w:rPr>
        <w:t>«</w:t>
      </w:r>
      <w:r w:rsidRPr="001E0C41">
        <w:rPr>
          <w:i/>
          <w:iCs/>
        </w:rPr>
        <w:t xml:space="preserve"> </w:t>
      </w:r>
      <w:r w:rsidRPr="001E0C41">
        <w:rPr>
          <w:b/>
          <w:bCs/>
          <w:i/>
          <w:iCs/>
        </w:rPr>
        <w:t>Проектирование и разработка программного средства, реализация бизнес-модели free-to-play</w:t>
      </w:r>
      <w:r w:rsidRPr="001E0C41">
        <w:rPr>
          <w:b/>
          <w:bCs/>
          <w:shd w:val="clear" w:color="auto" w:fill="FFFFFF"/>
          <w:lang w:val="ru-RU"/>
        </w:rPr>
        <w:t>.</w:t>
      </w:r>
      <w:r w:rsidRPr="001E0C41">
        <w:t>»</w:t>
      </w:r>
    </w:p>
    <w:p w14:paraId="2ABA7650" w14:textId="77777777" w:rsidR="001E0C41" w:rsidRDefault="001E0C41" w:rsidP="001E0C41">
      <w:pPr>
        <w:spacing w:after="0" w:line="240" w:lineRule="auto"/>
        <w:jc w:val="center"/>
      </w:pPr>
    </w:p>
    <w:p w14:paraId="4E599BE0" w14:textId="77777777" w:rsidR="001E0C41" w:rsidRDefault="001E0C41" w:rsidP="001E0C41">
      <w:pPr>
        <w:spacing w:after="0" w:line="240" w:lineRule="auto"/>
        <w:jc w:val="center"/>
      </w:pPr>
      <w:r w:rsidRPr="00AA3116">
        <w:t>по дисциплине</w:t>
      </w:r>
    </w:p>
    <w:p w14:paraId="5EBDBEC8" w14:textId="5B112FAE" w:rsidR="001E0C41" w:rsidRDefault="001E0C41" w:rsidP="001E0C41">
      <w:pPr>
        <w:spacing w:after="0" w:line="240" w:lineRule="auto"/>
        <w:jc w:val="center"/>
      </w:pPr>
      <w:r w:rsidRPr="00A95ED6">
        <w:rPr>
          <w:b/>
        </w:rPr>
        <w:t>«</w:t>
      </w:r>
      <w:r w:rsidRPr="001E0C41">
        <w:rPr>
          <w:lang w:val="ru-RU"/>
        </w:rPr>
        <w:t xml:space="preserve"> </w:t>
      </w:r>
      <w:r w:rsidRPr="001E0C41">
        <w:rPr>
          <w:b/>
          <w:bCs/>
          <w:lang w:val="ru-RU"/>
        </w:rPr>
        <w:t>Разработка требований к программному обеспечению</w:t>
      </w:r>
      <w:r w:rsidRPr="00AA3116">
        <w:t xml:space="preserve"> </w:t>
      </w:r>
      <w:r w:rsidRPr="00AA3116">
        <w:t>»</w:t>
      </w:r>
    </w:p>
    <w:p w14:paraId="304CF9C4" w14:textId="77777777" w:rsidR="001E0C41" w:rsidRDefault="001E0C41" w:rsidP="001E0C41">
      <w:pPr>
        <w:spacing w:after="0" w:line="240" w:lineRule="auto"/>
        <w:jc w:val="center"/>
      </w:pPr>
    </w:p>
    <w:p w14:paraId="14169864" w14:textId="77777777" w:rsidR="001E0C41" w:rsidRDefault="001E0C41" w:rsidP="001E0C41">
      <w:pPr>
        <w:spacing w:after="0" w:line="240" w:lineRule="auto"/>
        <w:jc w:val="center"/>
      </w:pPr>
    </w:p>
    <w:p w14:paraId="41E0F30B" w14:textId="77777777" w:rsidR="001E0C41" w:rsidRDefault="001E0C41" w:rsidP="001E0C41">
      <w:pPr>
        <w:spacing w:after="0" w:line="240" w:lineRule="auto"/>
        <w:jc w:val="center"/>
      </w:pPr>
    </w:p>
    <w:p w14:paraId="6DD8C81B" w14:textId="77777777" w:rsidR="001E0C41" w:rsidRPr="00AA3116" w:rsidRDefault="001E0C41" w:rsidP="001E0C41">
      <w:pPr>
        <w:spacing w:after="0" w:line="240" w:lineRule="auto"/>
        <w:jc w:val="center"/>
      </w:pPr>
    </w:p>
    <w:p w14:paraId="3081AF37" w14:textId="77777777" w:rsidR="001E0C41" w:rsidRPr="00053D38" w:rsidRDefault="001E0C41" w:rsidP="001E0C41">
      <w:pPr>
        <w:spacing w:after="0" w:line="240" w:lineRule="auto"/>
        <w:jc w:val="center"/>
      </w:pPr>
    </w:p>
    <w:p w14:paraId="7A2BB11C" w14:textId="77777777" w:rsidR="001E0C41" w:rsidRPr="00053D38" w:rsidRDefault="001E0C41" w:rsidP="001E0C41">
      <w:pPr>
        <w:spacing w:after="0" w:line="240" w:lineRule="auto"/>
        <w:jc w:val="center"/>
      </w:pPr>
    </w:p>
    <w:p w14:paraId="79368118" w14:textId="77777777" w:rsidR="001E0C41" w:rsidRPr="00053D38" w:rsidRDefault="001E0C41" w:rsidP="001E0C41">
      <w:pPr>
        <w:spacing w:after="0" w:line="240" w:lineRule="auto"/>
        <w:jc w:val="center"/>
      </w:pPr>
    </w:p>
    <w:p w14:paraId="3B037493" w14:textId="77777777" w:rsidR="001E0C41" w:rsidRPr="00053D38" w:rsidRDefault="001E0C41" w:rsidP="001E0C41">
      <w:pPr>
        <w:spacing w:after="0" w:line="240" w:lineRule="auto"/>
        <w:jc w:val="center"/>
      </w:pPr>
    </w:p>
    <w:p w14:paraId="0E9BF2D0" w14:textId="77777777" w:rsidR="001E0C41" w:rsidRDefault="001E0C41" w:rsidP="001E0C41">
      <w:pPr>
        <w:spacing w:after="0" w:line="240" w:lineRule="auto"/>
        <w:jc w:val="center"/>
      </w:pPr>
    </w:p>
    <w:p w14:paraId="0FBECD03" w14:textId="50B549CD" w:rsidR="001E0C41" w:rsidRPr="001E0C41" w:rsidRDefault="001E0C41" w:rsidP="001E0C41">
      <w:pPr>
        <w:spacing w:after="0" w:line="240" w:lineRule="auto"/>
        <w:jc w:val="both"/>
        <w:rPr>
          <w:lang w:val="ru-RU"/>
        </w:rPr>
      </w:pPr>
      <w:r>
        <w:t xml:space="preserve">Выполнил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ru-RU"/>
        </w:rPr>
        <w:t>И.А. Прудников</w:t>
      </w:r>
    </w:p>
    <w:p w14:paraId="25CBAF74" w14:textId="4203ED6E" w:rsidR="001E0C41" w:rsidRPr="001E0C41" w:rsidRDefault="001E0C41" w:rsidP="001E0C41">
      <w:pPr>
        <w:spacing w:after="0" w:line="240" w:lineRule="auto"/>
        <w:jc w:val="both"/>
        <w:rPr>
          <w:lang w:val="ru-RU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22356">
        <w:t>студент группы 2</w:t>
      </w:r>
      <w:r>
        <w:rPr>
          <w:lang w:val="ru-RU"/>
        </w:rPr>
        <w:t>5 - СТ</w:t>
      </w:r>
    </w:p>
    <w:p w14:paraId="1216B3EF" w14:textId="77777777" w:rsidR="001E0C41" w:rsidRDefault="001E0C41" w:rsidP="001E0C41">
      <w:pPr>
        <w:spacing w:after="0" w:line="240" w:lineRule="auto"/>
        <w:jc w:val="center"/>
      </w:pPr>
    </w:p>
    <w:p w14:paraId="0C01938C" w14:textId="77777777" w:rsidR="001E0C41" w:rsidRPr="00053D38" w:rsidRDefault="001E0C41" w:rsidP="001E0C41">
      <w:pPr>
        <w:spacing w:after="0" w:line="240" w:lineRule="auto"/>
        <w:jc w:val="center"/>
      </w:pPr>
    </w:p>
    <w:p w14:paraId="33860C6B" w14:textId="77777777" w:rsidR="001E0C41" w:rsidRDefault="001E0C41" w:rsidP="001E0C41">
      <w:pPr>
        <w:spacing w:after="0" w:line="240" w:lineRule="auto"/>
        <w:jc w:val="both"/>
      </w:pPr>
      <w:r>
        <w:t>Проверила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К.И. Иванова</w:t>
      </w:r>
    </w:p>
    <w:p w14:paraId="3897454E" w14:textId="77777777" w:rsidR="001E0C41" w:rsidRDefault="001E0C41" w:rsidP="001E0C41">
      <w:pPr>
        <w:spacing w:after="0" w:line="24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старший преподаватель </w:t>
      </w:r>
    </w:p>
    <w:p w14:paraId="1E4A9269" w14:textId="239F11F2" w:rsidR="001E0C41" w:rsidRPr="001E0C41" w:rsidRDefault="001E0C41" w:rsidP="001E0C41">
      <w:pPr>
        <w:spacing w:after="0" w:line="240" w:lineRule="auto"/>
        <w:ind w:left="6379"/>
        <w:jc w:val="both"/>
        <w:rPr>
          <w:lang w:val="ru-RU"/>
        </w:rPr>
      </w:pPr>
      <w:r>
        <w:t xml:space="preserve">каф. </w:t>
      </w:r>
      <w:proofErr w:type="spellStart"/>
      <w:r>
        <w:rPr>
          <w:lang w:val="ru-RU"/>
        </w:rPr>
        <w:t>ВМСиС</w:t>
      </w:r>
      <w:proofErr w:type="spellEnd"/>
    </w:p>
    <w:p w14:paraId="2DDF8E27" w14:textId="77777777" w:rsidR="001E0C41" w:rsidRPr="00053D38" w:rsidRDefault="001E0C41" w:rsidP="001E0C41">
      <w:pPr>
        <w:spacing w:after="0" w:line="240" w:lineRule="auto"/>
        <w:jc w:val="center"/>
      </w:pPr>
    </w:p>
    <w:p w14:paraId="745D36FF" w14:textId="77777777" w:rsidR="001E0C41" w:rsidRDefault="001E0C41" w:rsidP="001E0C41">
      <w:pPr>
        <w:spacing w:after="0" w:line="240" w:lineRule="auto"/>
        <w:jc w:val="center"/>
      </w:pPr>
    </w:p>
    <w:p w14:paraId="3713C3C2" w14:textId="77777777" w:rsidR="001E0C41" w:rsidRPr="005779AE" w:rsidRDefault="001E0C41" w:rsidP="001E0C41">
      <w:pPr>
        <w:spacing w:after="0" w:line="240" w:lineRule="auto"/>
        <w:jc w:val="center"/>
      </w:pPr>
    </w:p>
    <w:p w14:paraId="0C49AB58" w14:textId="77777777" w:rsidR="001E0C41" w:rsidRPr="00AA3116" w:rsidRDefault="001E0C41" w:rsidP="001E0C41">
      <w:pPr>
        <w:spacing w:after="0" w:line="240" w:lineRule="auto"/>
        <w:jc w:val="center"/>
      </w:pPr>
    </w:p>
    <w:p w14:paraId="3A0ACD9F" w14:textId="77777777" w:rsidR="001E0C41" w:rsidRDefault="001E0C41" w:rsidP="001E0C41">
      <w:pPr>
        <w:spacing w:after="140" w:line="276" w:lineRule="auto"/>
        <w:jc w:val="center"/>
      </w:pPr>
      <w:r>
        <w:rPr>
          <w:lang w:val="ru-RU"/>
        </w:rPr>
        <w:t>Полоцк</w:t>
      </w:r>
      <w:r>
        <w:t>, 2026</w:t>
      </w:r>
    </w:p>
    <w:p w14:paraId="5E352881" w14:textId="32068EBE" w:rsidR="00D93BF2" w:rsidRPr="000D277D" w:rsidRDefault="00D93BF2">
      <w:pPr>
        <w:spacing w:after="0" w:line="240" w:lineRule="auto"/>
        <w:rPr>
          <w:lang w:val="ru-RU"/>
        </w:rPr>
        <w:sectPr w:rsidR="00D93BF2" w:rsidRPr="000D277D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>
      <w:pPr>
        <w:keepNext/>
        <w:spacing w:after="40" w:line="276" w:lineRule="auto"/>
        <w:jc w:val="both"/>
      </w:pPr>
      <w:r>
        <w:rPr>
          <w:b/>
          <w:i w:val="0"/>
        </w:rPr>
        <w:t xml:space="preserve">Цель: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Определить функциональное назначение и контекст программного средства (ПС) – мобильной казуальной игры, реализующей бизнес-модель free-to-play, – и составить обзор продукта на основе анализа аналогов; сформировать техническое задание на разработку ПС (раздел 1); сделать постановку задачи на разработку ПС.</w:t>
      </w:r>
    </w:p>
    <w:p>
      <w:pPr>
        <w:keepNext/>
        <w:spacing w:after="40" w:line="276" w:lineRule="auto"/>
        <w:jc w:val="both"/>
      </w:pPr>
      <w:r>
        <w:rPr>
          <w:b/>
          <w:i w:val="0"/>
        </w:rPr>
        <w:t xml:space="preserve">Задание 1. Сформировать раздел 1 технического задания на разработку</w:t>
      </w: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1 ОБЗОР СУЩЕСТВУЮЩИХ АНАЛОГОВ РАЗРАБАТЫВАЕМОГО ПРОГРАММНОГО СРЕДСТВА</w:t>
      </w: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1.1 Выбор аналогов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Обзор выполнен по чек-листу «Обзор функциональности аналогов программного средства» (рисунок 8 методических указаний). В качестве аналогов выбраны пять актуальных казуальных мобильных игр, распространяемых по модели free-to-play на платформах Android и iOS.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Royal Match и Candy Crush Saga выбраны как лидеры жанра по данным аналитического агентства Sensor Tower: по итогам 2025 года выручка Royal Match от внутриигровых покупок превысила 1,4 млрд USD (первое место среди игр-головоломок), Candy Crush Saga – 1,1 млрд USD (второе место) [Naavik]; в рейтинге мобильных игр по мировой выручке за декабрь 2025 года Royal Match заняла 3-е место, Candy Crush Saga – 5-е [Sensor Tower]. Homescapes, Subway Surfers и Merge Dragons! названы конкурентными аналогами в лабораторной работе № 2 и представляют другие поджанры казуальных игр: «три в ряд» с сюжетом и обустройством дома, бесконечный раннер и merge-головоломку.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Сведения о функциональности взяты с официальных сайтов разработчиков, страниц игр в App Store и Google Play, справочных центров и статей Wikipedia (дата обращения – 22.10.2026). Перечень аналогов и источников приведён в таблице 1, функциональность аналогов – в таблице 2, сравнение с разрабатываемым ПС – в таблице 3.</w:t>
      </w:r>
    </w:p>
    <w:p>
      <w:pPr>
        <w:spacing w:after="40" w:line="276" w:lineRule="auto"/>
        <w:sectPr>
          <w:footerReference w:type="default" r:id="rId30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keepNext/>
        <w:spacing w:after="60" w:line="276" w:lineRule="auto"/>
        <w:jc w:val="left"/>
      </w:pPr>
      <w:r>
        <w:rPr>
          <w:b w:val="0"/>
          <w:i w:val="0"/>
        </w:rPr>
        <w:t xml:space="preserve">Таблица 1 – Аналоги разрабатываемого программного средства</w:t>
      </w:r>
    </w:p>
    <w:tbl>
      <w:tblPr>
        <w:tblStyle w:val="TableGrid"/>
        <w:tblW w:type="dxa" w:w="15138"/>
        <w:jc w:val="center"/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500"/>
        <w:gridCol w:w="1900"/>
        <w:gridCol w:w="2700"/>
        <w:gridCol w:w="2900"/>
        <w:gridCol w:w="7138"/>
      </w:tblGrid>
      <w:tr>
        <w:trPr>
          <w:cantSplit/>
          <w:tblHeader/>
        </w:trPr>
        <w:tc>
          <w:tcPr>
            <w:tcW w:type="dxa" w:w="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№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Название аналога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Компания-разработчик</w:t>
            </w:r>
          </w:p>
        </w:tc>
        <w:tc>
          <w:tcPr>
            <w:tcW w:type="dxa" w:w="29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URL официального сайта компании-разработчика</w:t>
            </w:r>
          </w:p>
        </w:tc>
        <w:tc>
          <w:tcPr>
            <w:tcW w:type="dxa" w:w="713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URL источников для обзора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Royal Match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Dream Games (Стамбул, Турция)</w:t>
            </w:r>
          </w:p>
        </w:tc>
        <w:tc>
          <w:tcPr>
            <w:tcW w:type="dxa" w:w="29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https://www.dreamgames.com/</w:t>
            </w:r>
          </w:p>
        </w:tc>
        <w:tc>
          <w:tcPr>
            <w:tcW w:type="dxa" w:w="71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https://www.dreamgames.com/games/royal-match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https://apps.apple.com/us/app/royal-match/id1482155847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https://play.google.com/store/apps/details?id=com.dreamgames.royalmatch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https://en.wikipedia.org/wiki/Royal_Match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Candy Crush Saga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King</w:t>
            </w:r>
          </w:p>
        </w:tc>
        <w:tc>
          <w:tcPr>
            <w:tcW w:type="dxa" w:w="29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https://www.king.com/</w:t>
            </w:r>
          </w:p>
        </w:tc>
        <w:tc>
          <w:tcPr>
            <w:tcW w:type="dxa" w:w="71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https://www.candycrush.com/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https://apps.apple.com/us/app/candy-crush-saga/id553834731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https://play.google.com/store/apps/details?id=com.king.candycrushsaga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https://en.wikipedia.org/wiki/Candy_Crush_Saga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Homescapes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Playrix</w:t>
            </w:r>
          </w:p>
        </w:tc>
        <w:tc>
          <w:tcPr>
            <w:tcW w:type="dxa" w:w="29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https://playrix.com/</w:t>
            </w:r>
          </w:p>
        </w:tc>
        <w:tc>
          <w:tcPr>
            <w:tcW w:type="dxa" w:w="71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https://playrix.com/games/homescapes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https://apps.apple.com/us/app/homescapes/id1195621598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https://play.google.com/store/apps/details?id=com.playrix.homescapes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https://en.wikipedia.org/wiki/Homescapes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Subway Surfers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SYBO Games (Дания), совместно с Kiloo</w:t>
            </w:r>
          </w:p>
        </w:tc>
        <w:tc>
          <w:tcPr>
            <w:tcW w:type="dxa" w:w="29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https://sybogames.com/</w:t>
            </w:r>
          </w:p>
        </w:tc>
        <w:tc>
          <w:tcPr>
            <w:tcW w:type="dxa" w:w="71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https://subwaysurfers.com/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https://apps.apple.com/us/app/subway-surfers/id512939461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https://play.google.com/store/apps/details?id=com.kiloo.subwaysurf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https://en.wikipedia.org/wiki/Subway_Surfers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Merge Dragons!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Gram Games (студия Zynga, входит в Take-Two Interactive)</w:t>
            </w:r>
          </w:p>
        </w:tc>
        <w:tc>
          <w:tcPr>
            <w:tcW w:type="dxa" w:w="29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https://www.zynga.com/</w:t>
            </w:r>
          </w:p>
        </w:tc>
        <w:tc>
          <w:tcPr>
            <w:tcW w:type="dxa" w:w="71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https://www.zynga.com/games/merge-dragons/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https://apps.apple.com/us/app/merge-dragons/id1208952944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https://play.google.com/store/apps/details?id=com.gramgames.mergedragons</w:t>
            </w:r>
          </w:p>
        </w:tc>
      </w:tr>
      <w:tr>
        <w:trPr>
          <w:cantSplit/>
        </w:trPr>
        <w:tc>
          <w:tcPr>
            <w:tcW w:type="dxa" w:w="5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–</w:t>
            </w:r>
          </w:p>
        </w:tc>
        <w:tc>
          <w:tcPr>
            <w:tcW w:type="dxa" w:w="19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Аналитика рынка (обоснование выбора)</w:t>
            </w:r>
          </w:p>
        </w:tc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Naavik; Sensor Tower</w:t>
            </w:r>
          </w:p>
        </w:tc>
        <w:tc>
          <w:tcPr>
            <w:tcW w:type="dxa" w:w="29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–</w:t>
            </w:r>
          </w:p>
        </w:tc>
        <w:tc>
          <w:tcPr>
            <w:tcW w:type="dxa" w:w="71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https://naavik.co/digest/what-leading-match-3-and-merge-games-do-differently/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https://sensortower.com/blog/top-10-worldwide-mobile-games-by-revenue-and-downloads-in-december-2025</w:t>
            </w:r>
          </w:p>
        </w:tc>
      </w:tr>
    </w:tbl>
    <w:p>
      <w:pPr>
        <w:spacing w:after="40" w:line="276" w:lineRule="auto"/>
      </w:pPr>
    </w:p>
    <w:p>
      <w:pPr>
        <w:keepNext/>
        <w:spacing w:after="60" w:line="276" w:lineRule="auto"/>
        <w:jc w:val="left"/>
      </w:pPr>
      <w:r>
        <w:rPr>
          <w:b w:val="0"/>
          <w:i w:val="0"/>
        </w:rPr>
        <w:t xml:space="preserve">Таблица 2 – Функциональность аналогов</w:t>
      </w:r>
    </w:p>
    <w:tbl>
      <w:tblPr>
        <w:tblStyle w:val="TableGrid"/>
        <w:tblW w:type="dxa" w:w="15138"/>
        <w:jc w:val="center"/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1800"/>
        <w:gridCol w:w="2300"/>
        <w:gridCol w:w="5000"/>
        <w:gridCol w:w="2050"/>
        <w:gridCol w:w="1650"/>
        <w:gridCol w:w="2338"/>
      </w:tblGrid>
      <w:tr>
        <w:trPr>
          <w:cantSplit/>
          <w:tblHeader/>
        </w:trPr>
        <w:tc>
          <w:tcPr>
            <w:tcW w:type="dxa" w:w="18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Аналог (компания-разработчик)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Назначение аналога</w:t>
            </w:r>
          </w:p>
        </w:tc>
        <w:tc>
          <w:tcPr>
            <w:tcW w:type="dxa" w:w="50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Функциональность аналога</w:t>
            </w:r>
          </w:p>
        </w:tc>
        <w:tc>
          <w:tcPr>
            <w:tcW w:type="dxa" w:w="20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Класс аналога</w:t>
            </w:r>
          </w:p>
        </w:tc>
        <w:tc>
          <w:tcPr>
            <w:tcW w:type="dxa" w:w="233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URL с описанием функциональности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Royal Match (Dream Games)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Развлечение: казуальная головоломка «три в ряд» с восстановлением замка короля Роберта; короткие игровые сессии</w:t>
            </w:r>
          </w:p>
        </w:tc>
        <w:tc>
          <w:tcPr>
            <w:tcW w:type="dxa" w:w="5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1 Игровой процесс: уровни «три в ряд», усилители (бустеры), бонусные уровни.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2 Метаигра: восстановление и обустройство залов замка.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3 Удержание: сундуки с наградами, коллекции карточек, события ограниченного времени (Train Journey с друзьями).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4 Монетизация: наборы монет и усилителей, сезонный пропуск Royal Pass; реклама в игре отсутствует (Google Play не отмечает «Contains ads»).</w:t>
            </w:r>
          </w:p>
        </w:tc>
        <w:tc>
          <w:tcPr>
            <w:tcW w:type="dxa" w:w="20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Бесплатно; встроенные покупки (популярные в App Store, США: 0,99–19,99 USD; Royal Pass – 9,99 USD)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Казуальная мобильная F2P-игра, жанр match-3 (Puzzle)</w:t>
            </w:r>
          </w:p>
        </w:tc>
        <w:tc>
          <w:tcPr>
            <w:tcW w:type="dxa" w:w="23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https://www.dreamgames.com/games/royal-match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https://apps.apple.com/us/app/royal-match/id1482155847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Candy Crush Saga (King)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Развлечение: казуальная головоломка «три в ряд» с тысячами уровней</w:t>
            </w:r>
          </w:p>
        </w:tc>
        <w:tc>
          <w:tcPr>
            <w:tcW w:type="dxa" w:w="5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1 Игровой процесс: уровни «три в ряд», усилители (Lollipop Hammer и др.).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2 Удержание: ежедневные награды (усилители, жизни), события ограниченного времени, турниры и таблицы лидеров.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3 Социальные функции: обмен жизнями с друзьями, синхронизация прогресса через Facebook.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4 Игра без подключения к Интернету.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5 Монетизация: золотые слитки, дополнительные ходы и жизни, Season Pass (бесплатная и платная Gold-дорожки); в версии для Android – реклама.</w:t>
            </w:r>
          </w:p>
        </w:tc>
        <w:tc>
          <w:tcPr>
            <w:tcW w:type="dxa" w:w="20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Бесплатно; встроенные покупки (популярные в App Store, США: 0,99–7,99 USD)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Казуальная мобильная F2P-игра, жанр match-3 (Puzzle)</w:t>
            </w:r>
          </w:p>
        </w:tc>
        <w:tc>
          <w:tcPr>
            <w:tcW w:type="dxa" w:w="23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https://www.candycrush.com/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https://apps.apple.com/us/app/candy-crush-saga/id553834731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Homescapes (Playrix)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Развлечение: «три в ряд» с сюжетом и ремонтом особняка</w:t>
            </w:r>
          </w:p>
        </w:tc>
        <w:tc>
          <w:tcPr>
            <w:tcW w:type="dxa" w:w="5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1 Игровой процесс: уровни «три в ряд» с усилителями и комбинациями.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2 Метаигра: ремонт и дизайн комнат особняка, сюжетные главы, питомец.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3 Социальные функции: друзья из Facebook, команды и командный чат.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4 Сезонный пропуск (Home Pass): 30 этапов; платный Season Pass даёт 8 жизней вместо 5, золотую рамку профиля, бонус команде.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5 Монетизация: наборы монет (Starter Pack, Pro Pack), случайные предметы; реклама отсутствует (по данным Google Play).</w:t>
            </w:r>
          </w:p>
        </w:tc>
        <w:tc>
          <w:tcPr>
            <w:tcW w:type="dxa" w:w="20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Бесплатно; встроенные покупки (популярные в App Store, США: 0,99–15,99 USD)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Казуальная мобильная F2P-игра, жанр match-3 (Puzzle)</w:t>
            </w:r>
          </w:p>
        </w:tc>
        <w:tc>
          <w:tcPr>
            <w:tcW w:type="dxa" w:w="23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https://playrix.com/games/homescapes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https://playrix.helpshift.com/hc/en/14-homescapes/faq/15526-home-pass-1755869542/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Subway Surfers (SYBO Games)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Развлечение: казуальный бесконечный раннер</w:t>
            </w:r>
          </w:p>
        </w:tc>
        <w:tc>
          <w:tcPr>
            <w:tcW w:type="dxa" w:w="5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1 Игровой процесс: бег с уклонением от поездов, ховерборды, джетпак.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2 Контент: регулярные обновления World Tour, новые персонажи и доски.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3 Сезонные события: Season Hunt с эксклюзивными персонажами и досками.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4 Социальные функции: соревнование с друзьями, таблицы лидеров и достижения (Game Center).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5 Монетизация: монеты, ключи, Score Boosters, Headstarts, Double Coins, стартовый набор; реклама (Google Play).</w:t>
            </w:r>
          </w:p>
        </w:tc>
        <w:tc>
          <w:tcPr>
            <w:tcW w:type="dxa" w:w="20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Бесплатно; встроенные покупки (популярные в App Store, США: 0,99–4,99 USD)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Казуальная мобильная F2P-игра, жанр endless runner (Action)</w:t>
            </w:r>
          </w:p>
        </w:tc>
        <w:tc>
          <w:tcPr>
            <w:tcW w:type="dxa" w:w="23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https://subwaysurfers.com/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https://apps.apple.com/us/app/subway-surfers/id512939461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Merge Dragons! (Gram Games / Zynga)</w:t>
            </w:r>
          </w:p>
        </w:tc>
        <w:tc>
          <w:tcPr>
            <w:tcW w:type="dxa" w:w="2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Развлечение: merge-головоломка с выращиванием драконов и строительством лагеря</w:t>
            </w:r>
          </w:p>
        </w:tc>
        <w:tc>
          <w:tcPr>
            <w:tcW w:type="dxa" w:w="50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1 Игровой процесс: объединение одинаковых объектов в более ценные, более 180 уровней.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2 Метаигра: лагерь, выведение и развитие драконов, около 900 заданий, ежедневные задания.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3 События: тематические события раз в две недели.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4 Социальные функции: посещение лагерей друзей, подарки, гильдии (Dens) с чатом.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5 Игра без подключения к Интернету.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6 Монетизация: наборы валюты и предметов, Royal Pass (9,99 USD), случайные предметы; реклама (Google Play).</w:t>
            </w:r>
          </w:p>
        </w:tc>
        <w:tc>
          <w:tcPr>
            <w:tcW w:type="dxa" w:w="20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Бесплатно; встроенные покупки (популярные в App Store, США: 3,99–99,99 USD)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Казуальная мобильная F2P-игра, жанр merge (Puzzle)</w:t>
            </w:r>
          </w:p>
        </w:tc>
        <w:tc>
          <w:tcPr>
            <w:tcW w:type="dxa" w:w="23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https://www.zynga.com/games/merge-dragons/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https://apps.apple.com/us/app/merge-dragons/id1208952944</w:t>
            </w:r>
          </w:p>
        </w:tc>
      </w:tr>
    </w:tbl>
    <w:p>
      <w:pPr>
        <w:spacing w:after="40" w:line="276" w:lineRule="auto"/>
      </w:pPr>
    </w:p>
    <w:p>
      <w:pPr>
        <w:keepNext/>
        <w:pageBreakBefore/>
        <w:spacing w:after="60" w:line="276" w:lineRule="auto"/>
        <w:jc w:val="left"/>
      </w:pPr>
      <w:r>
        <w:rPr>
          <w:b w:val="0"/>
          <w:i w:val="0"/>
        </w:rPr>
        <w:t xml:space="preserve">Таблица 3 – Сравнение функциональности аналогов и разрабатываемого программного средства</w:t>
      </w:r>
    </w:p>
    <w:tbl>
      <w:tblPr>
        <w:tblStyle w:val="TableGrid"/>
        <w:tblW w:type="dxa" w:w="15138"/>
        <w:jc w:val="center"/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4738"/>
        <w:gridCol w:w="1650"/>
        <w:gridCol w:w="1650"/>
        <w:gridCol w:w="1650"/>
        <w:gridCol w:w="1650"/>
        <w:gridCol w:w="1650"/>
        <w:gridCol w:w="2150"/>
      </w:tblGrid>
      <w:tr>
        <w:trPr>
          <w:cantSplit/>
          <w:tblHeader/>
        </w:trPr>
        <w:tc>
          <w:tcPr>
            <w:tcW w:type="dxa" w:w="473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Royal Match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Candy Crush Saga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Homescapes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Subway Surfers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Merge Dragons!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Разрабатываемое ПС</w:t>
            </w:r>
          </w:p>
        </w:tc>
      </w:tr>
      <w:tr>
        <w:trPr>
          <w:cantSplit/>
        </w:trPr>
        <w:tc>
          <w:tcPr>
            <w:tcW w:type="dxa" w:w="47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Бесплатное распространение (free-to-play)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47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Внутриигровые покупки (IAP)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47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Реклама в игре (по данным Google Play)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–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–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 (только по выбору игрока)</w:t>
            </w:r>
          </w:p>
        </w:tc>
      </w:tr>
      <w:tr>
        <w:trPr>
          <w:cantSplit/>
        </w:trPr>
        <w:tc>
          <w:tcPr>
            <w:tcW w:type="dxa" w:w="47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Сезонный (боевой) пропуск с бесплатной и платной дорожками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47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События ограниченного времени (LiveOps)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47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Ежедневные награды / задания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47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Социальные функции (друзья, команды, чат)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частично (реферальная система), остальное – после MVP</w:t>
            </w:r>
          </w:p>
        </w:tc>
      </w:tr>
      <w:tr>
        <w:trPr>
          <w:cantSplit/>
        </w:trPr>
        <w:tc>
          <w:tcPr>
            <w:tcW w:type="dxa" w:w="47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Игра без подключения к Интернету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 (основной цикл)</w:t>
            </w:r>
          </w:p>
        </w:tc>
      </w:tr>
      <w:tr>
        <w:trPr>
          <w:cantSplit/>
        </w:trPr>
        <w:tc>
          <w:tcPr>
            <w:tcW w:type="dxa" w:w="47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Случайные предметы (лутбоксы) за реальные деньги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– (не используются)</w:t>
            </w:r>
          </w:p>
        </w:tc>
      </w:tr>
      <w:tr>
        <w:trPr>
          <w:cantSplit/>
        </w:trPr>
        <w:tc>
          <w:tcPr>
            <w:tcW w:type="dxa" w:w="47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Персонализированные предложения по сегменту игрока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47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Ограничение частоты рекламы, отсутствие принудительной рекламы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47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Серверная проверка чеков и автоматическая сверка с магазином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47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LiveOps-панель: настройка каталога, предложений и пропуска без обновления клиента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47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Экономика без «pay-to-win», A/B-тесты монетизации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16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н/д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 w:val="0"/>
                <w:i w:val="0"/>
                <w:sz w:val="20"/>
                <w:szCs w:val="20"/>
              </w:rPr>
              <w:t xml:space="preserve">+</w:t>
            </w:r>
          </w:p>
        </w:tc>
      </w:tr>
    </w:tbl>
    <w:p>
      <w:pPr>
        <w:spacing w:after="40" w:line="276" w:lineRule="auto"/>
      </w:pP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Примечание – «+» – функция есть; «–» – функции нет; «н/д» – в открытых источниках (сайт, страницы магазинов приложений) функция не описана. Внутренние инструменты студий (серверная проверка покупок, сегментация, A/B-тесты) публично не раскрываются, поэтому для аналогов они отмечены как «н/д».</w:t>
      </w:r>
    </w:p>
    <w:p>
      <w:pPr>
        <w:spacing w:after="40" w:line="276" w:lineRule="auto"/>
        <w:sectPr>
          <w:footerReference w:type="default" r:id="rId30"/>
          <w:pgSz w:w="16838" w:h="11906" w:orient="landscape"/>
          <w:pgMar w:top="1134" w:right="850" w:bottom="1134" w:left="850" w:header="720" w:footer="720" w:gutter="0"/>
          <w:cols w:space="720"/>
          <w:docGrid w:linePitch="360"/>
        </w:sectPr>
      </w:pP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1.3 Ключевые тенденции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все аналоги распространяются бесплатно, основной доход дают внутриигровые покупки; часть игр дополнительно показывает рекламу (Candy Crush Saga, Subway Surfers, Merge Dragons!), лидер по выручке Royal Match обходится без рекламы;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сезонный пропуск с бесплатной и платной дорожками есть у всех пяти аналогов и стал стандартом жанра;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удержание строится на LiveOps: события ограниченного времени, коллекции, турниры, ежедневные награды;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поверх основного игрового цикла используется метаигра (замок, особняк, лагерь) и социальные механики (друзья, команды, чат);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ассортимент покупок включает стартовые наборы и специальные предложения; у части аналогов продаются случайные предметы, что несёт регуляторные риски (угроза, выявленная в SWOT-анализе лабораторной работы № 1).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Из функциональности аналогов в ПС переносятся: внутриигровая валюта и магазин, реклама за вознаграждение, боевой пропуск, ежедневные награды, события ограниченного времени, игра без Интернета в основном цикле (функции категорий Must и Should анализа MoSCoW из лабораторной работы № 1). Уникальными для ПС заявляются: персонализированные предложения по сегменту игрока, серверная проверка чеков с автоматической сверкой, реклама только по выбору игрока с ограничением частоты, LiveOps-панель и отказ от продажи случайных предметов за реальные деньги.</w:t>
      </w: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2 ФУНКЦИОНАЛЬНОЕ НАЗНАЧЕНИЕ И КОНТЕКСТ ПРОГРАММНОГО СРЕДСТВА</w:t>
      </w: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2.1 Функциональность программного средства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Пользователи ПС разделены на четыре роли: игрок (неплатящий и платящий), гейм-дизайнер / LiveOps-менеджер, аналитик данных и сотрудник службы поддержки. Доступность функций для каждой роли приведена в таблице 4 (по шаблону таблицы 7 методических указаний).</w:t>
      </w:r>
    </w:p>
    <w:p>
      <w:pPr>
        <w:keepNext/>
        <w:spacing w:after="60" w:line="276" w:lineRule="auto"/>
        <w:jc w:val="left"/>
      </w:pPr>
      <w:r>
        <w:rPr>
          <w:b w:val="0"/>
          <w:i w:val="0"/>
        </w:rPr>
        <w:t xml:space="preserve">Таблица 4 – Функциональность программного средства с учётом ролей пользователей</w:t>
      </w:r>
    </w:p>
    <w:tbl>
      <w:tblPr>
        <w:tblStyle w:val="TableGrid"/>
        <w:tblW w:type="dxa" w:w="9355"/>
        <w:jc w:val="center"/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3255"/>
        <w:gridCol w:w="1525"/>
        <w:gridCol w:w="1525"/>
        <w:gridCol w:w="1525"/>
        <w:gridCol w:w="1525"/>
      </w:tblGrid>
      <w:tr>
        <w:trPr>
          <w:cantSplit/>
          <w:tblHeader/>
        </w:trPr>
        <w:tc>
          <w:tcPr>
            <w:tcW w:type="dxa" w:w="325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Функции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Игрок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Гейм-дизайнер / LiveOps-менеджер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Аналитик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Служба поддержки</w:t>
            </w:r>
          </w:p>
        </w:tc>
      </w:tr>
      <w:tr>
        <w:trPr>
          <w:cantSplit/>
        </w:trPr>
        <w:tc>
          <w:tcPr>
            <w:tcW w:type="dxa" w:w="9355"/>
            <w:gridSpan w:val="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/>
                <w:sz w:val="20"/>
                <w:szCs w:val="20"/>
              </w:rPr>
              <w:t xml:space="preserve">основные: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1 Прохождение уровней основного игрового цикла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в тестовой сборке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2 Гостевой вход, привязка аккаунта, сохранение прогресса на сервере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просмотр профиля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3 Внутриигровой магазин: покупка валюты и наборов через Google Play Billing / StoreKit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настройка каталога и цен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4 Серверная проверка чека и начисление товара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автоматически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журнал транзакций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5 Просмотр рекламы за вознаграждение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по желанию, с лимитом в сутки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настройка лимитов и наград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6 Боевой пропуск (бесплатная и премиум-дорожки)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настройка сезонов и наград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7 Ежедневные награды и события ограниченного времени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настройка расписания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8 Персонализированные предложения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для своего сегмента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правила сегментации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оценка эффективности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9 Сбор событий аналитики и дашборды (DAU, Retention, ARPDAU, конверсия)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просмотр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полный доступ, выгрузка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10 Обращение в поддержку и восстановление покупок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форма в игре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обработка обращений</w:t>
            </w:r>
          </w:p>
        </w:tc>
      </w:tr>
      <w:tr>
        <w:trPr>
          <w:cantSplit/>
        </w:trPr>
        <w:tc>
          <w:tcPr>
            <w:tcW w:type="dxa" w:w="9355"/>
            <w:gridSpan w:val="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/>
                <w:i/>
                <w:sz w:val="20"/>
                <w:szCs w:val="20"/>
              </w:rPr>
              <w:t xml:space="preserve">дополнительные: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11 A/B-тесты монетизации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 (участвует автоматически)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создание тестов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анализ результатов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12 Косметические предметы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настройка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13 Реферальная система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настройка наград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отчёт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14 Push-уведомления о событиях и предложениях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с возможностью отключить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настройка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32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15 Локализация интерфейса (русский, английский)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выбор языка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да, управление текстами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  <w:tc>
          <w:tcPr>
            <w:tcW w:type="dxa" w:w="152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40" w:line="276" w:lineRule="auto"/>
      </w:pP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2.2 Функциональное назначение и контекст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Функциональное назначение ПС – предоставить игрокам бесплатную казуальную игру для мобильных устройств и обеспечить студии доход по модели free-to-play за счёт внутриигровых покупок, рекламы за вознаграждение и боевого пропуска. ПС автоматизирует процесс «Покупка внутриигрового товара» в состоянии TO-BE (лабораторная работа № 2): персональное предложение, оплата через SDK магазина, серверная проверка чека, начисление товара и запись событий аналитики.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Контекст ПС составляют внешние системы, с которыми оно взаимодействует (таблица 5).</w:t>
      </w:r>
    </w:p>
    <w:p>
      <w:pPr>
        <w:keepNext/>
        <w:spacing w:after="60" w:line="276" w:lineRule="auto"/>
        <w:jc w:val="left"/>
      </w:pPr>
      <w:r>
        <w:rPr>
          <w:b w:val="0"/>
          <w:i w:val="0"/>
        </w:rPr>
        <w:t xml:space="preserve">Таблица 5 – Внешние системы контекста программного средства</w:t>
      </w:r>
    </w:p>
    <w:tbl>
      <w:tblPr>
        <w:tblStyle w:val="TableGrid"/>
        <w:tblW w:type="dxa" w:w="9355"/>
        <w:jc w:val="center"/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2700"/>
        <w:gridCol w:w="3300"/>
        <w:gridCol w:w="3355"/>
      </w:tblGrid>
      <w:tr>
        <w:trPr>
          <w:cantSplit/>
          <w:tblHeader/>
        </w:trPr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Внешняя система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Назначение взаимодействия</w:t>
            </w:r>
          </w:p>
        </w:tc>
        <w:tc>
          <w:tcPr>
            <w:tcW w:type="dxa" w:w="335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0"/>
                <w:szCs w:val="20"/>
              </w:rPr>
              <w:t xml:space="preserve">Направление обмена данными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Google Play (Google Play Billing)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Оплата покупок на Android, данные для проверки покупок</w:t>
            </w:r>
          </w:p>
        </w:tc>
        <w:tc>
          <w:tcPr>
            <w:tcW w:type="dxa" w:w="33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Клиент → магазин (покупка); сервер ↔ магазин (проверка)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App Store (StoreKit)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Оплата покупок на iOS, подписанные данные транзакций</w:t>
            </w:r>
          </w:p>
        </w:tc>
        <w:tc>
          <w:tcPr>
            <w:tcW w:type="dxa" w:w="33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Клиент → магазин (покупка); сервер ↔ магазин (проверка)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Google AdMob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Показ рекламы за вознаграждение</w:t>
            </w:r>
          </w:p>
        </w:tc>
        <w:tc>
          <w:tcPr>
            <w:tcW w:type="dxa" w:w="33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Клиент ↔ рекламная сеть; подтверждение просмотра → сервер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Firebase / GameAnalytics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Сбор событий, дашборды, push-уведомления, удалённая конфигурация</w:t>
            </w:r>
          </w:p>
        </w:tc>
        <w:tc>
          <w:tcPr>
            <w:tcW w:type="dxa" w:w="33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Клиент и сервер → аналитика; LiveOps-панель → клиент (конфигурация)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Игрок (мобильное устройство)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Игра, покупки, просмотр рекламы, обращения</w:t>
            </w:r>
          </w:p>
        </w:tc>
        <w:tc>
          <w:tcPr>
            <w:tcW w:type="dxa" w:w="33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Двусторонний обмен с клиентом ПС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Сотрудники студии (браузер)</w:t>
            </w:r>
          </w:p>
        </w:tc>
        <w:tc>
          <w:tcPr>
            <w:tcW w:type="dxa" w:w="33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LiveOps-панель, отчёты, поддержка</w:t>
            </w:r>
          </w:p>
        </w:tc>
        <w:tc>
          <w:tcPr>
            <w:tcW w:type="dxa" w:w="33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0"/>
                <w:szCs w:val="20"/>
              </w:rPr>
              <w:t xml:space="preserve">Двусторонний обмен с сервером ПС</w:t>
            </w:r>
          </w:p>
        </w:tc>
      </w:tr>
    </w:tbl>
    <w:p>
      <w:pPr>
        <w:spacing w:after="40" w:line="276" w:lineRule="auto"/>
      </w:pP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3 ТЕХНИЧЕСКОЕ ЗАДАНИЕ НА РАЗРАБОТКУ ПРОГРАММНОГО СРЕДСТВА (РАЗДЕЛ 1)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Раздел 1 технического задания составлен по структуре рисунка 9 методических указаний (на основе ISO/IEC/IEEE 29148-2018). Нумерация пунктов ниже – нумерация технического задания.</w:t>
      </w: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1 Введение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Настоящее техническое задание описывает требования к ПС «Мобильная казуальная игра, реализующая бизнес-модель free-to-play» (далее – ПС, игра). Разработчик – студия из 6 человек (продюсер, гейм-дизайнер, два Unity-разработчика, художник, QA-инженер), срок разработки MVP – 6 месяцев, бюджет – 283 129 BYN (лабораторная работа № 2).</w:t>
      </w: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1.1 Функциональное назначение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ПС предназначено для развлечения игроков (казуальная игра с короткими сессиями) и для получения дохода студией по модели free-to-play. ПС автоматизирует процессы: покупка внутриигрового товара с серверной проверкой чека; показ рекламы за вознаграждение и начисление награды; настройка каталога, персональных предложений, боевого пропуска и событий; сбор и анализ показателей монетизации и удержания; обработка обращений игроков. Цель – достичь конверсии в платящих не менее 3 % и Retention D7 не менее 20 % в течение 3 месяцев после релиза при честной экономике без «pay-to-win».</w:t>
      </w: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1.2 Область применения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Область применения – рынок мобильных игр, сегмент казуальных F2P-игр. Игра распространяется бесплатно через Google Play и App Store неограниченному кругу пользователей.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В рамки проекта (MVP) входят: клиент игры для Android и iOS; серверная часть (профили, экономика, проверка покупок, предложения); интеграция с биллингом магазинов, рекламной сетью и аналитикой; LiveOps-панель для сотрудников студии.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В рамки проекта не входят: PvP-режим и кроссплатформенный прогресс (категория Won’t have анализа MoSCoW), собственная платёжная система, собственная рекламная сеть, версии для ПК и консолей.</w:t>
      </w: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1.3 Обзор продукта</w:t>
      </w: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1.3.1 Общий взгляд на программное изделие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ПС – новый самостоятельный продукт, а не замена существующей системы. Его создание обосновано проблемой, выявленной в лабораторной работе № 1: у небольших студий нет готового решения с проверенной F2P-монетизацией, а игроки недовольны навязчивой рекламой и «pay-to-win». Экономическая целесообразность подтверждена в лабораторной работе № 2 (NPV за 3 года – 210 104 BYN, ROI ≈ 110 %).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ПС состоит из мобильного клиента, серверной части и LiveOps-панели и взаимодействует с внешними системами: Google Play Billing, App Store (StoreKit), Google AdMob, Firebase / GameAnalytics (таблица 5). Основной поток данных: клиент → магазин приложений (оплата) → сервер ПС (проверка чека, начисление) → клиент (подтверждение) и аналитика (событие покупки).</w:t>
      </w: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1.3.2 Функции программного изделия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игровой процесс: уровни основного игрового цикла, обучение в первых уровнях;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профиль и прогресс: гостевой вход, привязка аккаунта, хранение прогресса на сервере;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внутриигровая экономика: мягкая и твёрдая валюта, магазин, наборы;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покупки: оплата через биллинг магазина, серверная проверка чека, начисление, восстановление покупок;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реклама за вознаграждение с суточным лимитом показов;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удержание: боевой пропуск, ежедневные награды, события ограниченного времени, push-уведомления;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персонализированные предложения по сегменту игрока;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аналитика: сбор событий, дашборды, A/B-тесты монетизации;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администрирование: LiveOps-панель, журнал транзакций, обработка обращений.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Распределение функций по ролям пользователей приведено в таблице 4.</w:t>
      </w: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1.3.3 Характеристики пользователей</w:t>
      </w:r>
    </w:p>
    <w:p>
      <w:pPr>
        <w:spacing w:after="120" w:line="276" w:lineRule="auto"/>
        <w:ind w:firstLine="709"/>
        <w:jc w:val="both"/>
      </w:pPr>
      <w:r>
        <w:rPr>
          <w:b/>
          <w:i w:val="0"/>
        </w:rPr>
        <w:t xml:space="preserve">Игрок (неплатящий). </w:t>
      </w:r>
      <w:r>
        <w:rPr>
          <w:b w:val="0"/>
          <w:i w:val="0"/>
        </w:rPr>
        <w:t xml:space="preserve">Возраст 16–40 лет, играет короткими сессиями на смартфоне, технической подготовки не требуется. Интерфейс должен быть понятен без отдельной инструкции; обучение встроено в первые уровни. Чувствителен к навязчивой рекламе.</w:t>
      </w:r>
    </w:p>
    <w:p>
      <w:pPr>
        <w:spacing w:after="120" w:line="276" w:lineRule="auto"/>
        <w:ind w:firstLine="709"/>
        <w:jc w:val="both"/>
      </w:pPr>
      <w:r>
        <w:rPr>
          <w:b/>
          <w:i w:val="0"/>
        </w:rPr>
        <w:t xml:space="preserve">Игрок (платящий). </w:t>
      </w:r>
      <w:r>
        <w:rPr>
          <w:b w:val="0"/>
          <w:i w:val="0"/>
        </w:rPr>
        <w:t xml:space="preserve">Небольшая доля аудитории (плановая конверсия – 3 %). Ожидает гарантированного получения покупки, прозрачных цен и честного баланса.</w:t>
      </w:r>
    </w:p>
    <w:p>
      <w:pPr>
        <w:spacing w:after="120" w:line="276" w:lineRule="auto"/>
        <w:ind w:firstLine="709"/>
        <w:jc w:val="both"/>
      </w:pPr>
      <w:r>
        <w:rPr>
          <w:b/>
          <w:i w:val="0"/>
        </w:rPr>
        <w:t xml:space="preserve">Гейм-дизайнер / LiveOps-менеджер. </w:t>
      </w:r>
      <w:r>
        <w:rPr>
          <w:b w:val="0"/>
          <w:i w:val="0"/>
        </w:rPr>
        <w:t xml:space="preserve">Сотрудник студии, знает игровую экономику, навыки программирования не обязательны; настраивает каталог, предложения и события через LiveOps-панель без выпуска новой версии клиента.</w:t>
      </w:r>
    </w:p>
    <w:p>
      <w:pPr>
        <w:spacing w:after="120" w:line="276" w:lineRule="auto"/>
        <w:ind w:firstLine="709"/>
        <w:jc w:val="both"/>
      </w:pPr>
      <w:r>
        <w:rPr>
          <w:b/>
          <w:i w:val="0"/>
        </w:rPr>
        <w:t xml:space="preserve">Аналитик данных. </w:t>
      </w:r>
      <w:r>
        <w:rPr>
          <w:b w:val="0"/>
          <w:i w:val="0"/>
        </w:rPr>
        <w:t xml:space="preserve">Работает с дашбордами, выгрузками и A/B-тестами; требуется доступ к агрегированным данным без персональных данных игроков.</w:t>
      </w:r>
    </w:p>
    <w:p>
      <w:pPr>
        <w:spacing w:after="120" w:line="276" w:lineRule="auto"/>
        <w:ind w:firstLine="709"/>
        <w:jc w:val="both"/>
      </w:pPr>
      <w:r>
        <w:rPr>
          <w:b/>
          <w:i w:val="0"/>
        </w:rPr>
        <w:t xml:space="preserve">Сотрудник службы поддержки. </w:t>
      </w:r>
      <w:r>
        <w:rPr>
          <w:b w:val="0"/>
          <w:i w:val="0"/>
        </w:rPr>
        <w:t xml:space="preserve">Базовые навыки работы с ПК; использует журнал транзакций и профили игроков для решения проблем с покупками.</w:t>
      </w: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1.3.4 Операционная среда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клиент: смартфоны и планшеты на Android 8.0 и выше и iOS 15 и выше, не менее 3 ГБ оперативной памяти, не менее 500 МБ свободного места;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сеть: подключение к Интернету обязательно для покупок, рекламы и синхронизации; основной игровой цикл доступен без подключения, события накапливаются и отправляются при восстановлении связи;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сервер: облачная платформа Firebase (Cloud Functions, Cloud Firestore), обмен с клиентом по HTTPS;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LiveOps-панель: веб-интерфейс в современных браузерах (Chrome, Edge, Firefox, Safari);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безопасность: проверка всех покупок на сервере, шифрование трафика, разграничение прав доступа к панели по ролям;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правовая среда: правила Google Play и App Store (обязательное использование биллинга магазина для цифровых товаров), законодательство о защите персональных данных (Закон Республики Беларусь № 99-З, GDPR для игроков из ЕС);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география и язык: релиз в странах СНГ и Европы, интерфейс на русском и английском языках.</w:t>
      </w: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1.4 Ограничения дизайна и реализации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клиент разрабатывается на Unity (C#) с использованием пакета Unity In-App Purchasing; UI проектируется в Figma;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для оплаты используются только Google Play Billing и Apple StoreKit, начисление товара выполняется только после проверки чека на сервере;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реклама – только Google AdMob в формате rewarded video, принудительная (межстраничная) реклама не используется;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аналитика – Firebase Analytics / GameAnalytics; хранение кода – Git/GitHub; управление задачами – Jira/Trello;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запрещены покупки, дающие преимущество в соревновательных режимах («pay-to-win»), и продажа случайных предметов за реальные деньги;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– ограничения проекта: команда 6 человек без выделенного backend-разработчика (поэтому выбрана управляемая платформа Firebase), срок 6 месяцев, процесс Scrum со спринтами по 2 недели, бюджет 283 129 BYN.</w:t>
      </w: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1.5 Предположения и зависимости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Предположения: плановые показатели лабораторной работы № 2 – 300 000 установок в первый год, конверсия в платящих 3 %, средний чек 25 BYN в год, доход от рекламы 0,9 BYN на установку, комиссия магазина 15 %; целевой Retention D7 – не менее 20 % (лабораторная работа № 1).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Зависимости: изменения правил, комиссий и API магазинов приложений; доступность сервисов Firebase и Google AdMob и заполняемость рекламы; ограничения отслеживания в iOS, влияющие на доход от рекламы; обновления Unity и SDK; регулирование лутбоксов и рекламы для несовершеннолетних; рост стоимости привлечения пользователей.</w:t>
      </w: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1.6 Ссылки</w:t>
      </w:r>
    </w:p>
    <w:p>
      <w:pPr>
        <w:spacing w:after="120" w:line="276" w:lineRule="auto"/>
        <w:ind w:firstLine="709"/>
        <w:jc w:val="left"/>
      </w:pPr>
      <w:r>
        <w:rPr>
          <w:b w:val="0"/>
          <w:i w:val="0"/>
        </w:rPr>
        <w:t xml:space="preserve">1 Отчёт по лабораторной работе № 1 (SWOT-анализ, MoSCoW, SMART-цель проекта).</w:t>
      </w:r>
    </w:p>
    <w:p>
      <w:pPr>
        <w:spacing w:after="120" w:line="276" w:lineRule="auto"/>
        <w:ind w:firstLine="709"/>
        <w:jc w:val="left"/>
      </w:pPr>
      <w:r>
        <w:rPr>
          <w:b w:val="0"/>
          <w:i w:val="0"/>
        </w:rPr>
        <w:t xml:space="preserve">2 Отчёт по лабораторной работе № 2 (экономическое обоснование, модели AS-IS и TO-BE процесса «Покупка внутриигрового товара»).</w:t>
      </w:r>
    </w:p>
    <w:p>
      <w:pPr>
        <w:spacing w:after="120" w:line="276" w:lineRule="auto"/>
        <w:ind w:firstLine="709"/>
        <w:jc w:val="left"/>
      </w:pPr>
      <w:r>
        <w:rPr>
          <w:b w:val="0"/>
          <w:i w:val="0"/>
        </w:rPr>
        <w:t xml:space="preserve">3 ISO/IEC/IEEE 29148:2018 Systems and software engineering – Life cycle processes – Requirements engineering. – URL: https://www.iso.org/standard/72089.html</w:t>
      </w:r>
    </w:p>
    <w:p>
      <w:pPr>
        <w:spacing w:after="120" w:line="276" w:lineRule="auto"/>
        <w:ind w:firstLine="709"/>
        <w:jc w:val="left"/>
      </w:pPr>
      <w:r>
        <w:rPr>
          <w:b w:val="0"/>
          <w:i w:val="0"/>
        </w:rPr>
        <w:t xml:space="preserve">4 ГОСТ 19.201-78 ЕСПД. Техническое задание. Требования к содержанию и оформлению.</w:t>
      </w:r>
    </w:p>
    <w:p>
      <w:pPr>
        <w:spacing w:after="120" w:line="276" w:lineRule="auto"/>
        <w:ind w:firstLine="709"/>
        <w:jc w:val="left"/>
      </w:pPr>
      <w:r>
        <w:rPr>
          <w:b w:val="0"/>
          <w:i w:val="0"/>
        </w:rPr>
        <w:t xml:space="preserve">5 ГОСТ 34.602-2020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>
      <w:pPr>
        <w:spacing w:after="120" w:line="276" w:lineRule="auto"/>
        <w:ind w:firstLine="709"/>
        <w:jc w:val="left"/>
      </w:pPr>
      <w:r>
        <w:rPr>
          <w:b w:val="0"/>
          <w:i w:val="0"/>
        </w:rPr>
        <w:t xml:space="preserve">6 Google Play Billing. – URL: https://developer.android.com/google/play/billing</w:t>
      </w:r>
    </w:p>
    <w:p>
      <w:pPr>
        <w:spacing w:after="120" w:line="276" w:lineRule="auto"/>
        <w:ind w:firstLine="709"/>
        <w:jc w:val="left"/>
      </w:pPr>
      <w:r>
        <w:rPr>
          <w:b w:val="0"/>
          <w:i w:val="0"/>
        </w:rPr>
        <w:t xml:space="preserve">7 Apple StoreKit. – URL: https://developer.apple.com/storekit/</w:t>
      </w:r>
    </w:p>
    <w:p>
      <w:pPr>
        <w:spacing w:after="120" w:line="276" w:lineRule="auto"/>
        <w:ind w:firstLine="709"/>
        <w:jc w:val="left"/>
      </w:pPr>
      <w:r>
        <w:rPr>
          <w:b w:val="0"/>
          <w:i w:val="0"/>
        </w:rPr>
        <w:t xml:space="preserve">8 Google AdMob. – URL: https://admob.google.com/home/</w:t>
      </w:r>
    </w:p>
    <w:p>
      <w:pPr>
        <w:spacing w:after="120" w:line="276" w:lineRule="auto"/>
        <w:ind w:firstLine="709"/>
        <w:jc w:val="left"/>
      </w:pPr>
      <w:r>
        <w:rPr>
          <w:b w:val="0"/>
          <w:i w:val="0"/>
        </w:rPr>
        <w:t xml:space="preserve">9 Firebase. – URL: https://firebase.google.com/</w:t>
      </w:r>
    </w:p>
    <w:p>
      <w:pPr>
        <w:spacing w:after="120" w:line="276" w:lineRule="auto"/>
        <w:ind w:firstLine="709"/>
        <w:jc w:val="left"/>
      </w:pPr>
      <w:r>
        <w:rPr>
          <w:b w:val="0"/>
          <w:i w:val="0"/>
        </w:rPr>
        <w:t xml:space="preserve">10 GameAnalytics. – URL: https://gameanalytics.com/</w:t>
      </w:r>
    </w:p>
    <w:p>
      <w:pPr>
        <w:spacing w:after="120" w:line="276" w:lineRule="auto"/>
        <w:ind w:firstLine="709"/>
        <w:jc w:val="left"/>
      </w:pPr>
      <w:r>
        <w:rPr>
          <w:b w:val="0"/>
          <w:i w:val="0"/>
        </w:rPr>
        <w:t xml:space="preserve">11 Unity. – URL: https://unity.com/</w:t>
      </w:r>
    </w:p>
    <w:p>
      <w:pPr>
        <w:spacing w:after="120" w:line="276" w:lineRule="auto"/>
        <w:ind w:firstLine="709"/>
        <w:jc w:val="left"/>
      </w:pPr>
      <w:r>
        <w:rPr>
          <w:b w:val="0"/>
          <w:i w:val="0"/>
        </w:rPr>
        <w:t xml:space="preserve">12 Источники обзора аналогов – таблицы 1 и 2.</w:t>
      </w:r>
    </w:p>
    <w:p>
      <w:pPr>
        <w:keepNext/>
        <w:spacing w:after="40" w:line="276" w:lineRule="auto"/>
        <w:jc w:val="both"/>
      </w:pPr>
      <w:r>
        <w:rPr>
          <w:b/>
          <w:i w:val="0"/>
        </w:rPr>
        <w:t xml:space="preserve">Задание 2. Осуществить постановку задачи на разработку</w:t>
      </w:r>
    </w:p>
    <w:p>
      <w:pPr>
        <w:keepNext/>
        <w:spacing w:before="200" w:after="120" w:line="276" w:lineRule="auto"/>
        <w:jc w:val="left"/>
      </w:pPr>
      <w:r>
        <w:rPr>
          <w:b/>
          <w:i w:val="0"/>
        </w:rPr>
        <w:t xml:space="preserve">4 ПОСТАНОВКА ЗАДАЧИ НА РАЗРАБОТКУ ПРОГРАММНОГО СРЕДСТВА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Постановка задачи выполнена по шаблону таблицы 8 методических указаний на основании анализа предметной области (лабораторные работы № 1, 2), обзора аналогов и раздела 1 технического задания.</w:t>
      </w:r>
    </w:p>
    <w:p>
      <w:pPr>
        <w:keepNext/>
        <w:spacing w:after="60" w:line="276" w:lineRule="auto"/>
        <w:jc w:val="left"/>
      </w:pPr>
      <w:r>
        <w:rPr>
          <w:b w:val="0"/>
          <w:i w:val="0"/>
        </w:rPr>
        <w:t xml:space="preserve">Таблица 6 – Постановка задачи на разработку программного средства</w:t>
      </w:r>
    </w:p>
    <w:tbl>
      <w:tblPr>
        <w:tblStyle w:val="TableGrid"/>
        <w:tblW w:type="dxa" w:w="9355"/>
        <w:jc w:val="center"/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2200"/>
        <w:gridCol w:w="7155"/>
      </w:tblGrid>
      <w:tr>
        <w:trPr>
          <w:cantSplit/>
          <w:tblHeader/>
        </w:trPr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715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b/>
                <w:i w:val="0"/>
                <w:sz w:val="22"/>
                <w:szCs w:val="22"/>
              </w:rPr>
              <w:t xml:space="preserve">ПОСТАНОВКА ЗАДАЧИ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71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ПС предназначено для автоматизации монетизации и сопровождения мобильной казуальной F2P-игры студии-разработчика.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Объекты автоматизации и процессы верхнего уровня: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– игроки: игровой процесс, покупка внутриигрового товара, просмотр рекламы за вознаграждение, получение наград боевого пропуска и ежедневных наград, обращение в поддержку;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– гейм-дизайн / LiveOps: настройка каталога, цен, персональных предложений, боевого пропуска, событий и A/B-тестов;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– аналитика: сбор событий, расчёт показателей монетизации и удержания;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– служба поддержки: обработка обращений, проверка и восстановление покупок;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– финансовый учёт: автоматическая сверка покупок с отчётами магазинов приложений.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Цели создания</w:t>
            </w:r>
          </w:p>
        </w:tc>
        <w:tc>
          <w:tcPr>
            <w:tcW w:type="dxa" w:w="715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Основные цели создания ПС: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– обеспечить доход от игры по модели F2P без «pay-to-win»: конверсия в платящих – не менее 3 %;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– удерживать аудиторию: Retention D7 – не менее 20 % в течение 3 месяцев после релиза;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– исключить начисление товара без проверки: доля покупок с серверной проверкой чека – 100 % (в AS-IS – 0 %);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– сократить сверку с магазинами: вместо ручной ежемесячной – автоматическая, расхождения выявляются в течение суток;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– повысить конверсию за счёт персональных предложений вместо единого каталога; эффект подтверждается A/B-тестом;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– снизить раздражение от рекламы: только rewarded video по выбору игрока, с суточным лимитом показов;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– обеспечить оперативное управление: изменение предложений и событий без выпуска новой версии клиента.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Критерии: достижение целевых значений по данным Firebase / GameAnalytics; выручка не ниже плана лабораторной работы № 2 (доход IAP в первый год – 225 000 BYN).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b w:val="0"/>
                <w:i w:val="0"/>
                <w:sz w:val="22"/>
                <w:szCs w:val="22"/>
              </w:rPr>
              <w:t xml:space="preserve">Срок работ: разработка MVP – 6 месяцев (спринты по 2 недели), после релиза – сопровождение LiveOps.</w:t>
            </w:r>
          </w:p>
        </w:tc>
      </w:tr>
    </w:tbl>
    <w:p>
      <w:pPr>
        <w:spacing w:after="40" w:line="276" w:lineRule="auto"/>
      </w:pPr>
    </w:p>
    <w:p>
      <w:pPr>
        <w:keepNext/>
        <w:spacing w:after="40" w:line="276" w:lineRule="auto"/>
        <w:jc w:val="both"/>
      </w:pPr>
      <w:r>
        <w:rPr>
          <w:b/>
          <w:i w:val="0"/>
        </w:rPr>
        <w:t xml:space="preserve">Вывод: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В ходе лабораторной работы проведён обзор пяти аналогов разрабатываемого ПС (Royal Match, Candy Crush Saga, Homescapes, Subway Surfers, Merge Dragons!); выбор лидеров жанра обоснован данными Sensor Tower. Функциональность аналогов систематизирована и сравнена с ПС. Выявлены ключевые тенденции рынка: бесплатное распространение с внутриигровыми покупками, сезонные пропуски, LiveOps-события и социальные механики. Определены функциональное назначение, контекст и функции ПС с учётом четырёх ролей пользователей, а также уникальные функции: персонализированные предложения, серверная проверка чеков, реклама только по выбору игрока и LiveOps-панель. Сформирован раздел 1 технического задания по ISO/IEC/IEEE 29148-2018 и выполнена постановка задачи с измеримыми целями: конверсия не менее 3 %, Retention D7 не менее 20 %, 100 % покупок с серверной проверкой.</w:t>
      </w:r>
    </w:p>
    <w:p>
      <w:pPr>
        <w:keepNext/>
        <w:spacing w:after="40" w:line="276" w:lineRule="auto"/>
        <w:jc w:val="both"/>
      </w:pPr>
      <w:r>
        <w:rPr>
          <w:b/>
          <w:i w:val="0"/>
        </w:rPr>
        <w:t xml:space="preserve">Контрольные вопросы к лабораторной работе №3</w:t>
      </w:r>
    </w:p>
    <w:p>
      <w:pPr>
        <w:keepNext/>
        <w:spacing w:after="40" w:line="276" w:lineRule="auto"/>
        <w:jc w:val="left"/>
      </w:pPr>
      <w:r>
        <w:rPr>
          <w:b/>
          <w:i w:val="0"/>
        </w:rPr>
        <w:t xml:space="preserve">1 Для чего необходимо Техническое задание в проекте?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ТЗ фиксирует согласованные между заказчиком и исполнителем назначение, требования, ограничения и условия разработки ПС. Оно служит основой для планирования, оценки сроков и стоимости, проектирования, тестирования и приёмки, а также снижает риск разногласий и изменений требований.</w:t>
      </w:r>
    </w:p>
    <w:p>
      <w:pPr>
        <w:keepNext/>
        <w:spacing w:after="40" w:line="276" w:lineRule="auto"/>
        <w:jc w:val="left"/>
      </w:pPr>
      <w:r>
        <w:rPr>
          <w:b/>
          <w:i w:val="0"/>
        </w:rPr>
        <w:t xml:space="preserve">2 В чем заключаются принципиальные отличия ТЗ по ГОСТам 19 и 34?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ГОСТ 19 (ЕСПД, ГОСТ 19.201-78) регламентирует ТЗ на программу или программное изделие: структура проще, основное внимание – требованиям к программе и документации. ГОСТ 34 (ГОСТ 34.602) регламентирует ТЗ на автоматизированную систему в целом: кроме ПО включает требования к техническому, информационному, организационному обеспечению, персоналу, стадиям создания и вводу в действие; документ значительно объёмнее.</w:t>
      </w:r>
    </w:p>
    <w:p>
      <w:pPr>
        <w:keepNext/>
        <w:spacing w:after="40" w:line="276" w:lineRule="auto"/>
        <w:jc w:val="left"/>
      </w:pPr>
      <w:r>
        <w:rPr>
          <w:b/>
          <w:i w:val="0"/>
        </w:rPr>
        <w:t xml:space="preserve">3 Какой раздел ТЗ на разработку можно считать основным и почему?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Основным можно считать раздел с требованиями к ПС (спецификацию функциональных и нефункциональных требований), так как по нему ведутся проектирование, разработка, тестирование и приёмка. Раздел 1 (введение и обзор продукта) задаёт для них контекст: назначение, границы, пользователей и среду.</w:t>
      </w:r>
    </w:p>
    <w:p>
      <w:pPr>
        <w:keepNext/>
        <w:spacing w:after="40" w:line="276" w:lineRule="auto"/>
        <w:jc w:val="left"/>
      </w:pPr>
      <w:r>
        <w:rPr>
          <w:b/>
          <w:i w:val="0"/>
        </w:rPr>
        <w:t xml:space="preserve">4 Что представляет собой Обзор продукта?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Это подраздел ТЗ, который описывает ПС в целом: его место среди других систем и происхождение (общий взгляд), основные функции, характеристики пользователей и операционную среду, в которой оно будет работать.</w:t>
      </w:r>
    </w:p>
    <w:p>
      <w:pPr>
        <w:keepNext/>
        <w:spacing w:after="40" w:line="276" w:lineRule="auto"/>
        <w:jc w:val="left"/>
      </w:pPr>
      <w:r>
        <w:rPr>
          <w:b/>
          <w:i w:val="0"/>
        </w:rPr>
        <w:t xml:space="preserve">5 Как правильно сделать постановку задачи на разработку ПС?</w:t>
      </w:r>
    </w:p>
    <w:p>
      <w:pPr>
        <w:spacing w:after="120" w:line="276" w:lineRule="auto"/>
        <w:ind w:firstLine="709"/>
        <w:jc w:val="both"/>
      </w:pPr>
      <w:r>
        <w:rPr>
          <w:b w:val="0"/>
          <w:i w:val="0"/>
        </w:rPr>
        <w:t xml:space="preserve">На основании анализа предметной области и спецификации требований указать назначение ПС (объекты автоматизации, подразделения, процессы верхнего уровня) и цели создания – измеримые показатели, которые должны быть улучшены, с целевыми значениями, критериями оценки и сроками.</w:t>
      </w:r>
    </w:p>
    <w:sectPr>
      <w:footerReference w:type="default" r:id="rId3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A3BEB2" w14:textId="77777777" w:rsidR="00D93BF2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D277D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