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EA4142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4</w:t>
      </w:r>
    </w:p>
    <w:p w:rsidR="002E2A75" w:rsidRPr="00900AD8" w:rsidRDefault="008939E9" w:rsidP="008939E9">
      <w:pPr>
        <w:spacing w:after="0"/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4</w:t>
      </w:r>
    </w:p>
    <w:p w:rsidR="00E9776E" w:rsidRDefault="008F625B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11" style="position:absolute;left:0;text-align:left;margin-left:-30.3pt;margin-top:3.85pt;width:484.15pt;height:213.75pt;z-index:251667456" coordorigin="1470,2359" coordsize="9683,4275">
            <v:roundrect id="_x0000_s1102" style="position:absolute;left:5238;top:2359;width:1992;height:812" arcsize="10923f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  <v:textbox>
                <w:txbxContent>
                  <w:p w:rsidR="00816F7F" w:rsidRPr="00816F7F" w:rsidRDefault="00816F7F" w:rsidP="00816F7F">
                    <w:pPr>
                      <w:jc w:val="center"/>
                      <w:rPr>
                        <w:rFonts w:ascii="Arial Rounded MT Bold" w:hAnsi="Arial Rounded MT Bold"/>
                        <w:sz w:val="20"/>
                        <w:szCs w:val="20"/>
                      </w:rPr>
                    </w:pPr>
                    <w:r w:rsidRPr="00816F7F">
                      <w:rPr>
                        <w:rFonts w:ascii="Arial Rounded MT Bold" w:hAnsi="Arial Rounded MT Bold"/>
                        <w:sz w:val="20"/>
                        <w:szCs w:val="20"/>
                      </w:rPr>
                      <w:t>Servicios Públicos</w:t>
                    </w:r>
                  </w:p>
                </w:txbxContent>
              </v:textbox>
            </v:roundrect>
            <v:oval id="_x0000_s1103" style="position:absolute;left:9406;top:4933;width:1747;height:1701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816F7F" w:rsidRDefault="00816F7F" w:rsidP="00816F7F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816F7F" w:rsidRPr="00816F7F" w:rsidRDefault="00816F7F" w:rsidP="001C531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816F7F">
                      <w:rPr>
                        <w:rFonts w:ascii="Tahoma" w:hAnsi="Tahoma" w:cs="Tahoma"/>
                        <w:sz w:val="20"/>
                        <w:szCs w:val="20"/>
                      </w:rPr>
                      <w:t>Alumbrado</w:t>
                    </w:r>
                  </w:p>
                </w:txbxContent>
              </v:textbox>
            </v:oval>
            <v:oval id="_x0000_s1104" style="position:absolute;left:6894;top:4933;width:1747;height:1701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816F7F" w:rsidRPr="00816F7F" w:rsidRDefault="00816F7F" w:rsidP="00816F7F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Agua Potable</w:t>
                    </w:r>
                  </w:p>
                </w:txbxContent>
              </v:textbox>
            </v:oval>
            <v:oval id="_x0000_s1105" style="position:absolute;left:1470;top:4933;width:1747;height:1701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816F7F" w:rsidRDefault="00816F7F" w:rsidP="00816F7F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816F7F" w:rsidRPr="00816F7F" w:rsidRDefault="00816F7F" w:rsidP="00816F7F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Salud</w:t>
                    </w:r>
                  </w:p>
                </w:txbxContent>
              </v:textbox>
            </v:oval>
            <v:oval id="_x0000_s1106" style="position:absolute;left:4023;top:4933;width:1747;height:1701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816F7F" w:rsidRDefault="00816F7F" w:rsidP="00816F7F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816F7F" w:rsidRPr="00816F7F" w:rsidRDefault="00816F7F" w:rsidP="00816F7F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Educación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7" type="#_x0000_t32" style="position:absolute;left:2344;top:3171;width:3906;height:1762;flip:x" o:connectortype="straight">
              <v:stroke endarrow="block"/>
            </v:shape>
            <v:shape id="_x0000_s1108" type="#_x0000_t32" style="position:absolute;left:6250;top:3171;width:3861;height:1762" o:connectortype="straight">
              <v:stroke endarrow="block"/>
            </v:shape>
            <v:shape id="_x0000_s1109" type="#_x0000_t32" style="position:absolute;left:4917;top:3171;width:1333;height:1762;flip:x" o:connectortype="straight">
              <v:stroke endarrow="block"/>
            </v:shape>
            <v:shape id="_x0000_s1110" type="#_x0000_t32" style="position:absolute;left:6250;top:3171;width:1364;height:1762" o:connectortype="straight">
              <v:stroke endarrow="block"/>
            </v:shape>
          </v:group>
        </w:pict>
      </w: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083D68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32" style="position:absolute;margin-left:-21.6pt;margin-top:14.65pt;width:470.55pt;height:23pt;z-index:251680768" coordorigin="1269,6412" coordsize="9411,4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3823;top:6412;width:1440;height:460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112">
                <w:txbxContent>
                  <w:p w:rsidR="001C5319" w:rsidRPr="001C5319" w:rsidRDefault="001C5319" w:rsidP="001C5319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Adecuado</w:t>
                    </w:r>
                  </w:p>
                </w:txbxContent>
              </v:textbox>
            </v:shape>
            <v:shape id="_x0000_s1120" type="#_x0000_t202" style="position:absolute;left:6741;top:6412;width:1440;height:460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  <v:textbox>
                <w:txbxContent>
                  <w:p w:rsidR="008F625B" w:rsidRPr="001C5319" w:rsidRDefault="008F625B" w:rsidP="008F625B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Deficiente</w:t>
                    </w:r>
                  </w:p>
                </w:txbxContent>
              </v:textbox>
            </v:shape>
            <v:shape id="_x0000_s1121" type="#_x0000_t202" style="position:absolute;left:1269;top:6412;width:1440;height:460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8F625B" w:rsidRPr="001C5319" w:rsidRDefault="008F625B" w:rsidP="008F625B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Adecuado</w:t>
                    </w:r>
                  </w:p>
                </w:txbxContent>
              </v:textbox>
            </v:shape>
            <v:shape id="_x0000_s1125" type="#_x0000_t202" style="position:absolute;left:9240;top:6412;width:1440;height:460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8F625B" w:rsidRPr="001C5319" w:rsidRDefault="008F625B" w:rsidP="008F625B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Adecuado</w:t>
                    </w:r>
                  </w:p>
                </w:txbxContent>
              </v:textbox>
            </v:shape>
          </v:group>
        </w:pict>
      </w:r>
    </w:p>
    <w:p w:rsidR="00E9776E" w:rsidRPr="00E9776E" w:rsidRDefault="00083D68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36" style="position:absolute;margin-left:367.45pt;margin-top:16.95pt;width:91.7pt;height:270.95pt;z-index:251684864" coordorigin="9050,6940" coordsize="1834,541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26" type="#_x0000_t176" style="position:absolute;left:9050;top:6940;width:1834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C1342C" w:rsidRPr="00C1342C" w:rsidRDefault="00C1342C" w:rsidP="00C1342C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</w:pPr>
                    <w:r w:rsidRPr="00C1342C"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Cuenta con una Coordinaci</w:t>
                    </w:r>
                    <w:r w:rsidR="000D21BC"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ón enfocada totalmente a atender problemas de alumbrado.</w:t>
                    </w:r>
                  </w:p>
                </w:txbxContent>
              </v:textbox>
            </v:shape>
            <v:shape id="_x0000_s1130" type="#_x0000_t176" style="position:absolute;left:9202;top:8829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0D21BC" w:rsidRPr="008F625B" w:rsidRDefault="000D21BC" w:rsidP="000D21BC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Pronta respuesta y atención a las solicitudes ciudadanas.</w:t>
                    </w:r>
                  </w:p>
                </w:txbxContent>
              </v:textbox>
            </v:shape>
            <v:shape id="_x0000_s1131" type="#_x0000_t176" style="position:absolute;left:9202;top:10766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0D21BC" w:rsidRPr="000D21BC" w:rsidRDefault="000D21BC" w:rsidP="000D21BC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</w:pPr>
                    <w:r w:rsidRPr="000D21BC"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Monitoreo constante y mantenimiento a las luminarias de la ciudad y comunidades.</w:t>
                    </w:r>
                  </w:p>
                </w:txbxContent>
              </v:textbox>
            </v:shape>
          </v:group>
        </w:pict>
      </w: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35" style="position:absolute;margin-left:243.8pt;margin-top:16.95pt;width:87.35pt;height:270.95pt;z-index:251673856" coordorigin="6577,6940" coordsize="1747,5419">
            <v:shape id="_x0000_s1117" type="#_x0000_t176" style="position:absolute;left:6690;top:6940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E9776E" w:rsidRDefault="00E9776E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</w:pPr>
                    <w:r w:rsidRPr="00E9776E"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  <w:t>Deudas ante CFE; cortes continuos masivos del servicio.</w:t>
                    </w:r>
                  </w:p>
                </w:txbxContent>
              </v:textbox>
            </v:shape>
            <v:shape id="_x0000_s1118" type="#_x0000_t176" style="position:absolute;left:6577;top:8829;width:1747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E9776E" w:rsidRDefault="00E9776E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Falta de recursos para dar mantenimiento a bombas, tanques, tuberías, etc.</w:t>
                    </w:r>
                  </w:p>
                </w:txbxContent>
              </v:textbox>
            </v:shape>
            <v:shape id="_x0000_s1119" type="#_x0000_t176" style="position:absolute;left:6697;top:10766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8F625B" w:rsidRDefault="008F625B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</w:pPr>
                    <w:r w:rsidRPr="008F625B"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Insuficiente cobertura para la ciudad y comunidades.</w:t>
                    </w:r>
                  </w:p>
                </w:txbxContent>
              </v:textbox>
            </v:shape>
          </v:group>
        </w:pict>
      </w: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34" style="position:absolute;margin-left:104.4pt;margin-top:16.95pt;width:76.25pt;height:270.95pt;z-index:251670016" coordorigin="3789,6940" coordsize="1525,5419">
            <v:shape id="_x0000_s1114" type="#_x0000_t176" style="position:absolute;left:3789;top:6940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E9776E" w:rsidRDefault="00E9776E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</w:pPr>
                    <w:r w:rsidRPr="00E9776E"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  <w:t>Dependiente de una Secretaría Federal y Estatal</w:t>
                    </w:r>
                    <w:r w:rsidR="000D21BC"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115" type="#_x0000_t176" style="position:absolute;left:3789;top:8829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E9776E" w:rsidRDefault="00E9776E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  <w:sz w:val="20"/>
                        <w:szCs w:val="20"/>
                      </w:rPr>
                      <w:t>Demasiadas reformas en corto tiempo y no bien canalizadas.</w:t>
                    </w:r>
                  </w:p>
                </w:txbxContent>
              </v:textbox>
            </v:shape>
            <v:shape id="_x0000_s1116" type="#_x0000_t176" style="position:absolute;left:3789;top:10766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E9776E" w:rsidRPr="00E9776E" w:rsidRDefault="00E9776E" w:rsidP="00E9776E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</w:pPr>
                    <w:r w:rsidRPr="00E9776E"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Insuficiente cobertura; índice elevado de analfabetismo</w:t>
                    </w:r>
                    <w:r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 xml:space="preserve"> a nivel nacional.</w:t>
                    </w:r>
                  </w:p>
                </w:txbxContent>
              </v:textbox>
            </v:shape>
          </v:group>
        </w:pict>
      </w:r>
      <w:r>
        <w:rPr>
          <w:rFonts w:ascii="Century Gothic" w:eastAsia="Times New Roman" w:hAnsi="Century Gothic" w:cs="Times New Roman"/>
          <w:b/>
          <w:noProof/>
          <w:color w:val="222222"/>
          <w:sz w:val="20"/>
          <w:szCs w:val="20"/>
          <w:lang w:eastAsia="es-ES"/>
        </w:rPr>
        <w:pict>
          <v:group id="_x0000_s1133" style="position:absolute;margin-left:-29.45pt;margin-top:16.95pt;width:87.35pt;height:270.95pt;z-index:251677696" coordorigin="1112,6940" coordsize="1747,5419">
            <v:shape id="_x0000_s1122" type="#_x0000_t176" style="position:absolute;left:1218;top:6940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8F625B" w:rsidRPr="008F625B" w:rsidRDefault="008F625B" w:rsidP="008F625B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</w:pPr>
                    <w:r w:rsidRPr="008F625B"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Manejo de campañas de salud en la ciudad y comunidades.</w:t>
                    </w:r>
                  </w:p>
                </w:txbxContent>
              </v:textbox>
            </v:shape>
            <v:shape id="_x0000_s1123" type="#_x0000_t176" style="position:absolute;left:1112;top:8829;width:1747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8F625B" w:rsidRPr="008F625B" w:rsidRDefault="008F625B" w:rsidP="008F625B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</w:pPr>
                    <w:r w:rsidRPr="008F625B">
                      <w:rPr>
                        <w:rFonts w:ascii="Tahoma" w:hAnsi="Tahoma" w:cs="Tahoma"/>
                        <w:color w:val="FFFFFF" w:themeColor="background1"/>
                        <w:sz w:val="16"/>
                        <w:szCs w:val="16"/>
                      </w:rPr>
                      <w:t>Estrecha coordinación con dependencias particulares, estatales y federales.</w:t>
                    </w:r>
                  </w:p>
                </w:txbxContent>
              </v:textbox>
            </v:shape>
            <v:shape id="_x0000_s1124" type="#_x0000_t176" style="position:absolute;left:1218;top:10766;width:1525;height:1593" fillcolor="#666 [1936]" strokecolor="black [3200]" strokeweight="1pt">
              <v:fill color2="black [3200]" focus="50%" type="gradient"/>
              <v:shadow on="t" type="perspective" color="#7f7f7f [1601]" offset="1pt" offset2="-3pt"/>
              <v:textbox>
                <w:txbxContent>
                  <w:p w:rsidR="008F625B" w:rsidRPr="008F625B" w:rsidRDefault="008F625B" w:rsidP="008F625B">
                    <w:pPr>
                      <w:jc w:val="center"/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Programas de salud continuos en diversos ámbitos.</w:t>
                    </w:r>
                  </w:p>
                </w:txbxContent>
              </v:textbox>
            </v:shape>
          </v:group>
        </w:pict>
      </w: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P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9776E" w:rsidRDefault="00E9776E" w:rsidP="00E9776E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8F625B" w:rsidRDefault="00E9776E" w:rsidP="00E9776E">
      <w:pPr>
        <w:tabs>
          <w:tab w:val="left" w:pos="6086"/>
        </w:tabs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ab/>
      </w:r>
    </w:p>
    <w:p w:rsidR="002E2A75" w:rsidRDefault="002E2A75" w:rsidP="008F625B">
      <w:pPr>
        <w:tabs>
          <w:tab w:val="left" w:pos="1646"/>
        </w:tabs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8F625B" w:rsidRPr="008F625B" w:rsidRDefault="008F625B" w:rsidP="008F625B">
      <w:pPr>
        <w:tabs>
          <w:tab w:val="left" w:pos="1646"/>
        </w:tabs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Generalmente, las personas catalogamos y calificamos una Administración Pública, como buena o mala,  ya sea esta municipal o estatal, en base al tipo de servicios públicos que nos ofrece; considerando que es uno de los problemas más fuertes a los que se enfrentan nuestros gobernantes, estos deberían de integrar políticas debidamente planeadas </w:t>
      </w:r>
      <w:r w:rsidR="00313BBA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en estos rubros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para ser incluidas en su gestión de gobierno y así poder atender </w:t>
      </w:r>
      <w:r w:rsidR="00313BBA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de manera eficiente, en tiempo y forma,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 todas las demandas de la ciudadanía</w:t>
      </w:r>
      <w:r w:rsidR="00313BBA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cuanto en cuanto a servicios públicos se refiere.</w:t>
      </w:r>
    </w:p>
    <w:sectPr w:rsidR="008F625B" w:rsidRPr="008F625B" w:rsidSect="003D40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0B" w:rsidRDefault="00A8380B" w:rsidP="00597BA4">
      <w:pPr>
        <w:spacing w:after="0" w:line="240" w:lineRule="auto"/>
      </w:pPr>
      <w:r>
        <w:separator/>
      </w:r>
    </w:p>
  </w:endnote>
  <w:endnote w:type="continuationSeparator" w:id="1">
    <w:p w:rsidR="00A8380B" w:rsidRDefault="00A8380B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0B" w:rsidRDefault="00A8380B" w:rsidP="00597BA4">
      <w:pPr>
        <w:spacing w:after="0" w:line="240" w:lineRule="auto"/>
      </w:pPr>
      <w:r>
        <w:separator/>
      </w:r>
    </w:p>
  </w:footnote>
  <w:footnote w:type="continuationSeparator" w:id="1">
    <w:p w:rsidR="00A8380B" w:rsidRDefault="00A8380B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DB2AC2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DB2AC2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083D68" w:rsidRPr="00083D68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1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DB2AC2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BBF"/>
    <w:multiLevelType w:val="hybridMultilevel"/>
    <w:tmpl w:val="E4449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EB2"/>
    <w:multiLevelType w:val="hybridMultilevel"/>
    <w:tmpl w:val="0C5A5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hdrShapeDefaults>
    <o:shapedefaults v:ext="edit" spidmax="24578">
      <o:colormenu v:ext="edit" fillcolor="none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83252"/>
    <w:rsid w:val="00083D68"/>
    <w:rsid w:val="000D21BC"/>
    <w:rsid w:val="00125BBA"/>
    <w:rsid w:val="0016635C"/>
    <w:rsid w:val="00180D69"/>
    <w:rsid w:val="001862FB"/>
    <w:rsid w:val="001C07CD"/>
    <w:rsid w:val="001C5319"/>
    <w:rsid w:val="001E3313"/>
    <w:rsid w:val="002843F8"/>
    <w:rsid w:val="002E2A75"/>
    <w:rsid w:val="00313BBA"/>
    <w:rsid w:val="00314FB0"/>
    <w:rsid w:val="003169C4"/>
    <w:rsid w:val="00380A47"/>
    <w:rsid w:val="00391CB2"/>
    <w:rsid w:val="003D4035"/>
    <w:rsid w:val="003F4A58"/>
    <w:rsid w:val="0045775C"/>
    <w:rsid w:val="00497683"/>
    <w:rsid w:val="004A2DF5"/>
    <w:rsid w:val="004A5B9C"/>
    <w:rsid w:val="00501A94"/>
    <w:rsid w:val="00560CAC"/>
    <w:rsid w:val="005842D8"/>
    <w:rsid w:val="00597BA4"/>
    <w:rsid w:val="00611771"/>
    <w:rsid w:val="00675F89"/>
    <w:rsid w:val="006D2C79"/>
    <w:rsid w:val="006D6E51"/>
    <w:rsid w:val="007827FF"/>
    <w:rsid w:val="00793920"/>
    <w:rsid w:val="00804F46"/>
    <w:rsid w:val="00816F7F"/>
    <w:rsid w:val="008360CA"/>
    <w:rsid w:val="008706B4"/>
    <w:rsid w:val="008939E9"/>
    <w:rsid w:val="008A7151"/>
    <w:rsid w:val="008B7BF6"/>
    <w:rsid w:val="008F625B"/>
    <w:rsid w:val="00933EA9"/>
    <w:rsid w:val="00935CD5"/>
    <w:rsid w:val="009C1CFA"/>
    <w:rsid w:val="009D6A78"/>
    <w:rsid w:val="009E3642"/>
    <w:rsid w:val="00A04821"/>
    <w:rsid w:val="00A439D3"/>
    <w:rsid w:val="00A4459F"/>
    <w:rsid w:val="00A8380B"/>
    <w:rsid w:val="00A84723"/>
    <w:rsid w:val="00B948FA"/>
    <w:rsid w:val="00BC6F63"/>
    <w:rsid w:val="00C00525"/>
    <w:rsid w:val="00C1342C"/>
    <w:rsid w:val="00C439AC"/>
    <w:rsid w:val="00C77B75"/>
    <w:rsid w:val="00C92524"/>
    <w:rsid w:val="00CB2A40"/>
    <w:rsid w:val="00CB5A67"/>
    <w:rsid w:val="00CD195A"/>
    <w:rsid w:val="00D0133B"/>
    <w:rsid w:val="00D81B84"/>
    <w:rsid w:val="00D93737"/>
    <w:rsid w:val="00DB2AC2"/>
    <w:rsid w:val="00DD73F9"/>
    <w:rsid w:val="00DF112B"/>
    <w:rsid w:val="00DF3D13"/>
    <w:rsid w:val="00E9776E"/>
    <w:rsid w:val="00EA4142"/>
    <w:rsid w:val="00EF1DCE"/>
    <w:rsid w:val="00F32A8F"/>
    <w:rsid w:val="00F915F5"/>
    <w:rsid w:val="00F93E99"/>
    <w:rsid w:val="00FA13C4"/>
    <w:rsid w:val="00FD2821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  <o:rules v:ext="edit">
        <o:r id="V:Rule5" type="connector" idref="#_x0000_s1107"/>
        <o:r id="V:Rule6" type="connector" idref="#_x0000_s1108"/>
        <o:r id="V:Rule7" type="connector" idref="#_x0000_s1110"/>
        <o:r id="V:Rule8" type="connector" idref="#_x0000_s11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9</cp:revision>
  <dcterms:created xsi:type="dcterms:W3CDTF">2013-07-23T19:45:00Z</dcterms:created>
  <dcterms:modified xsi:type="dcterms:W3CDTF">2013-07-24T22:50:00Z</dcterms:modified>
</cp:coreProperties>
</file>