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00F" w:rsidRDefault="0073500F" w:rsidP="0028033A">
      <w:pPr>
        <w:shd w:val="clear" w:color="auto" w:fill="FFFFFF"/>
        <w:spacing w:before="77" w:line="300" w:lineRule="atLeast"/>
        <w:jc w:val="both"/>
        <w:rPr>
          <w:rFonts w:ascii="Arial" w:eastAsia="Times New Roman" w:hAnsi="Arial" w:cs="Arial"/>
          <w:color w:val="222222"/>
          <w:sz w:val="24"/>
          <w:szCs w:val="24"/>
          <w:lang w:eastAsia="es-CR"/>
        </w:rPr>
      </w:pPr>
      <w:r w:rsidRPr="0073500F">
        <w:rPr>
          <w:rFonts w:ascii="Arial" w:eastAsia="Times New Roman" w:hAnsi="Arial" w:cs="Arial"/>
          <w:noProof/>
          <w:color w:val="222222"/>
          <w:sz w:val="24"/>
          <w:szCs w:val="24"/>
          <w:lang w:eastAsia="es-MX"/>
        </w:rPr>
        <w:drawing>
          <wp:anchor distT="0" distB="0" distL="114300" distR="114300" simplePos="0" relativeHeight="251658240" behindDoc="0" locked="0" layoutInCell="1" allowOverlap="1">
            <wp:simplePos x="0" y="0"/>
            <wp:positionH relativeFrom="column">
              <wp:posOffset>-375285</wp:posOffset>
            </wp:positionH>
            <wp:positionV relativeFrom="paragraph">
              <wp:posOffset>52705</wp:posOffset>
            </wp:positionV>
            <wp:extent cx="2171700" cy="600075"/>
            <wp:effectExtent l="0" t="0" r="0" b="9525"/>
            <wp:wrapSquare wrapText="bothSides"/>
            <wp:docPr id="1025" name="Imagen 3" descr="Descripción: http://seeklogo.com/images/I/iap-chiapas-logo-D64A86D887-seeklogo.c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Imagen 3" descr="Descripción: http://seeklogo.com/images/I/iap-chiapas-logo-D64A86D887-seeklogo.com.gif"/>
                    <pic:cNvPicPr>
                      <a:picLocks noChangeAspect="1" noChangeArrowheads="1"/>
                    </pic:cNvPicPr>
                  </pic:nvPicPr>
                  <pic:blipFill>
                    <a:blip r:embed="rId8">
                      <a:extLst>
                        <a:ext uri="{28A0092B-C50C-407E-A947-70E740481C1C}">
                          <a14:useLocalDpi xmlns:a14="http://schemas.microsoft.com/office/drawing/2010/main" val="0"/>
                        </a:ext>
                      </a:extLst>
                    </a:blip>
                    <a:srcRect t="29231" r="4102" b="31795"/>
                    <a:stretch>
                      <a:fillRect/>
                    </a:stretch>
                  </pic:blipFill>
                  <pic:spPr bwMode="auto">
                    <a:xfrm>
                      <a:off x="0" y="0"/>
                      <a:ext cx="2171700" cy="600075"/>
                    </a:xfrm>
                    <a:prstGeom prst="rect">
                      <a:avLst/>
                    </a:prstGeom>
                    <a:noFill/>
                    <a:extLst/>
                  </pic:spPr>
                </pic:pic>
              </a:graphicData>
            </a:graphic>
            <wp14:sizeRelH relativeFrom="page">
              <wp14:pctWidth>0</wp14:pctWidth>
            </wp14:sizeRelH>
            <wp14:sizeRelV relativeFrom="page">
              <wp14:pctHeight>0</wp14:pctHeight>
            </wp14:sizeRelV>
          </wp:anchor>
        </w:drawing>
      </w: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Pr="00160674" w:rsidRDefault="0073500F" w:rsidP="0073500F">
      <w:pPr>
        <w:shd w:val="clear" w:color="auto" w:fill="FFFFFF"/>
        <w:spacing w:before="77" w:line="300" w:lineRule="atLeast"/>
        <w:jc w:val="center"/>
        <w:rPr>
          <w:rFonts w:ascii="Arial" w:eastAsia="Times New Roman" w:hAnsi="Arial" w:cs="Arial"/>
          <w:b/>
          <w:bCs/>
          <w:color w:val="222222"/>
          <w:sz w:val="28"/>
          <w:szCs w:val="28"/>
          <w:lang w:val="es-ES" w:eastAsia="es-CR"/>
        </w:rPr>
      </w:pPr>
      <w:r w:rsidRPr="00160674">
        <w:rPr>
          <w:rFonts w:ascii="Arial" w:eastAsia="Times New Roman" w:hAnsi="Arial" w:cs="Arial"/>
          <w:b/>
          <w:bCs/>
          <w:color w:val="222222"/>
          <w:sz w:val="28"/>
          <w:szCs w:val="28"/>
          <w:lang w:val="es-ES" w:eastAsia="es-CR"/>
        </w:rPr>
        <w:t>INSTITUTO DE ADMINISTRACIÓN PÚBLICA DEL ESTADO DE CHIAPAS, A. C.</w:t>
      </w:r>
    </w:p>
    <w:p w:rsidR="0073500F" w:rsidRDefault="0073500F" w:rsidP="0073500F">
      <w:pPr>
        <w:shd w:val="clear" w:color="auto" w:fill="FFFFFF"/>
        <w:spacing w:before="77" w:line="300" w:lineRule="atLeast"/>
        <w:jc w:val="both"/>
        <w:rPr>
          <w:rFonts w:ascii="Arial" w:eastAsia="Times New Roman" w:hAnsi="Arial" w:cs="Arial"/>
          <w:color w:val="222222"/>
          <w:sz w:val="24"/>
          <w:szCs w:val="24"/>
          <w:lang w:eastAsia="es-CR"/>
        </w:rPr>
      </w:pPr>
    </w:p>
    <w:p w:rsidR="0073500F" w:rsidRPr="0073500F" w:rsidRDefault="0073500F" w:rsidP="0073500F">
      <w:pPr>
        <w:shd w:val="clear" w:color="auto" w:fill="FFFFFF"/>
        <w:spacing w:before="77" w:line="300" w:lineRule="atLeast"/>
        <w:jc w:val="both"/>
        <w:rPr>
          <w:rFonts w:ascii="Arial" w:eastAsia="Times New Roman" w:hAnsi="Arial" w:cs="Arial"/>
          <w:color w:val="222222"/>
          <w:sz w:val="24"/>
          <w:szCs w:val="24"/>
          <w:lang w:eastAsia="es-CR"/>
        </w:rPr>
      </w:pPr>
    </w:p>
    <w:p w:rsidR="0073500F" w:rsidRPr="00160674" w:rsidRDefault="0073500F" w:rsidP="00160674">
      <w:pPr>
        <w:shd w:val="clear" w:color="auto" w:fill="FFFFFF"/>
        <w:spacing w:before="77" w:line="300" w:lineRule="atLeast"/>
        <w:jc w:val="center"/>
        <w:rPr>
          <w:rFonts w:ascii="Arial" w:eastAsia="Times New Roman" w:hAnsi="Arial" w:cs="Arial"/>
          <w:color w:val="222222"/>
          <w:sz w:val="28"/>
          <w:szCs w:val="28"/>
          <w:lang w:eastAsia="es-CR"/>
        </w:rPr>
      </w:pPr>
      <w:r w:rsidRPr="00160674">
        <w:rPr>
          <w:rFonts w:ascii="Arial" w:eastAsia="Times New Roman" w:hAnsi="Arial" w:cs="Arial"/>
          <w:b/>
          <w:bCs/>
          <w:color w:val="222222"/>
          <w:sz w:val="28"/>
          <w:szCs w:val="28"/>
          <w:lang w:val="es-ES" w:eastAsia="es-CR"/>
        </w:rPr>
        <w:t>MAESTRIA EN ADMINISTRACIÓN Y POLÍTICAS PÚBLICAS</w:t>
      </w: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Pr="00160674" w:rsidRDefault="0073500F" w:rsidP="00160674">
      <w:pPr>
        <w:shd w:val="clear" w:color="auto" w:fill="FFFFFF"/>
        <w:spacing w:before="77" w:line="300" w:lineRule="atLeast"/>
        <w:jc w:val="center"/>
        <w:rPr>
          <w:rFonts w:ascii="Arial" w:eastAsia="Times New Roman" w:hAnsi="Arial" w:cs="Arial"/>
          <w:color w:val="222222"/>
          <w:sz w:val="26"/>
          <w:szCs w:val="26"/>
          <w:lang w:eastAsia="es-CR"/>
        </w:rPr>
      </w:pPr>
      <w:r w:rsidRPr="00160674">
        <w:rPr>
          <w:rFonts w:ascii="Arial" w:eastAsia="Times New Roman" w:hAnsi="Arial" w:cs="Arial"/>
          <w:b/>
          <w:bCs/>
          <w:color w:val="222222"/>
          <w:sz w:val="26"/>
          <w:szCs w:val="26"/>
          <w:lang w:val="es-ES" w:eastAsia="es-CR"/>
        </w:rPr>
        <w:t xml:space="preserve">MATERIA: </w:t>
      </w:r>
      <w:r w:rsidR="000E7EA4">
        <w:rPr>
          <w:rFonts w:ascii="Arial" w:eastAsia="Times New Roman" w:hAnsi="Arial" w:cs="Arial"/>
          <w:b/>
          <w:bCs/>
          <w:color w:val="222222"/>
          <w:sz w:val="26"/>
          <w:szCs w:val="26"/>
          <w:lang w:val="es-ES" w:eastAsia="es-CR"/>
        </w:rPr>
        <w:t>RENDICION DE CUENTAS Y CONTRALORIA SOCIAL</w:t>
      </w: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08472E" w:rsidRPr="0008472E" w:rsidRDefault="0073500F" w:rsidP="0008472E">
      <w:pPr>
        <w:spacing w:after="0" w:line="300" w:lineRule="atLeast"/>
        <w:rPr>
          <w:rFonts w:ascii="Arial" w:eastAsia="Times New Roman" w:hAnsi="Arial" w:cs="Arial"/>
          <w:color w:val="222222"/>
          <w:sz w:val="24"/>
          <w:szCs w:val="24"/>
          <w:lang w:eastAsia="es-CR"/>
        </w:rPr>
      </w:pPr>
      <w:r w:rsidRPr="0073500F">
        <w:rPr>
          <w:rFonts w:ascii="Arial" w:eastAsia="Times New Roman" w:hAnsi="Arial" w:cs="Arial"/>
          <w:b/>
          <w:bCs/>
          <w:color w:val="222222"/>
          <w:sz w:val="24"/>
          <w:szCs w:val="24"/>
          <w:lang w:val="es-ES" w:eastAsia="es-CR"/>
        </w:rPr>
        <w:t xml:space="preserve">ACTIVIDAD: </w:t>
      </w:r>
      <w:r w:rsidR="00A22BF5">
        <w:rPr>
          <w:rFonts w:ascii="Arial" w:eastAsia="Times New Roman" w:hAnsi="Arial" w:cs="Arial"/>
          <w:b/>
          <w:bCs/>
          <w:color w:val="222222"/>
          <w:sz w:val="24"/>
          <w:szCs w:val="24"/>
          <w:lang w:val="es-ES" w:eastAsia="es-CR"/>
        </w:rPr>
        <w:t>5</w:t>
      </w:r>
      <w:r w:rsidRPr="0073500F">
        <w:rPr>
          <w:rFonts w:ascii="Arial" w:eastAsia="Times New Roman" w:hAnsi="Arial" w:cs="Arial"/>
          <w:b/>
          <w:bCs/>
          <w:color w:val="222222"/>
          <w:sz w:val="24"/>
          <w:szCs w:val="24"/>
          <w:lang w:val="es-ES" w:eastAsia="es-CR"/>
        </w:rPr>
        <w:t xml:space="preserve">.- </w:t>
      </w:r>
      <w:r w:rsidR="00A22BF5">
        <w:rPr>
          <w:rFonts w:ascii="Arial" w:eastAsia="Times New Roman" w:hAnsi="Arial" w:cs="Arial"/>
          <w:b/>
          <w:bCs/>
          <w:color w:val="222222"/>
          <w:sz w:val="24"/>
          <w:szCs w:val="24"/>
          <w:lang w:val="es-ES" w:eastAsia="es-CR"/>
        </w:rPr>
        <w:t>ANALISIS DE LA DECLARACION DE ASUNCION: PRINCIPIOS SOBRE RENDICIONDE CUENTAS EN MEXICO (OLACEFS)</w:t>
      </w:r>
      <w:r w:rsidR="0008472E" w:rsidRPr="0008472E">
        <w:rPr>
          <w:rFonts w:ascii="Arial" w:eastAsia="Times New Roman" w:hAnsi="Arial" w:cs="Arial"/>
          <w:b/>
          <w:bCs/>
          <w:color w:val="222222"/>
          <w:sz w:val="24"/>
          <w:szCs w:val="24"/>
          <w:lang w:eastAsia="es-MX"/>
        </w:rPr>
        <w:t xml:space="preserve"> </w:t>
      </w:r>
      <w:r w:rsidR="0008472E" w:rsidRPr="0008472E">
        <w:rPr>
          <w:rFonts w:ascii="Arial" w:eastAsia="Times New Roman" w:hAnsi="Arial" w:cs="Arial"/>
          <w:color w:val="222222"/>
          <w:sz w:val="24"/>
          <w:szCs w:val="24"/>
          <w:lang w:eastAsia="es-CR"/>
        </w:rPr>
        <w:t> </w:t>
      </w:r>
    </w:p>
    <w:p w:rsidR="0073500F" w:rsidRPr="0073500F" w:rsidRDefault="0073500F" w:rsidP="00160674">
      <w:pPr>
        <w:shd w:val="clear" w:color="auto" w:fill="FFFFFF"/>
        <w:spacing w:before="77" w:line="300" w:lineRule="atLeast"/>
        <w:jc w:val="both"/>
        <w:rPr>
          <w:rFonts w:ascii="Arial" w:eastAsia="Times New Roman" w:hAnsi="Arial" w:cs="Arial"/>
          <w:color w:val="222222"/>
          <w:sz w:val="24"/>
          <w:szCs w:val="24"/>
          <w:lang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p>
    <w:p w:rsidR="0073500F" w:rsidRDefault="0073500F" w:rsidP="0073500F">
      <w:pPr>
        <w:shd w:val="clear" w:color="auto" w:fill="FFFFFF"/>
        <w:spacing w:before="77" w:line="300" w:lineRule="atLeast"/>
        <w:jc w:val="both"/>
        <w:rPr>
          <w:rFonts w:ascii="Arial" w:eastAsia="Times New Roman" w:hAnsi="Arial" w:cs="Arial"/>
          <w:b/>
          <w:bCs/>
          <w:color w:val="222222"/>
          <w:sz w:val="24"/>
          <w:szCs w:val="24"/>
          <w:lang w:val="es-ES" w:eastAsia="es-CR"/>
        </w:rPr>
      </w:pPr>
      <w:r w:rsidRPr="0073500F">
        <w:rPr>
          <w:rFonts w:ascii="Arial" w:eastAsia="Times New Roman" w:hAnsi="Arial" w:cs="Arial"/>
          <w:b/>
          <w:bCs/>
          <w:color w:val="222222"/>
          <w:sz w:val="24"/>
          <w:szCs w:val="24"/>
          <w:lang w:val="es-ES" w:eastAsia="es-CR"/>
        </w:rPr>
        <w:t>ALUMNO: C.P. URIEL PEREZ GONZALEZ</w:t>
      </w:r>
    </w:p>
    <w:p w:rsidR="00160674" w:rsidRPr="00160674" w:rsidRDefault="00160674" w:rsidP="0073500F">
      <w:pPr>
        <w:shd w:val="clear" w:color="auto" w:fill="FFFFFF"/>
        <w:spacing w:before="77" w:line="300" w:lineRule="atLeast"/>
        <w:jc w:val="both"/>
        <w:rPr>
          <w:rFonts w:ascii="Arial" w:eastAsia="Times New Roman" w:hAnsi="Arial" w:cs="Arial"/>
          <w:color w:val="222222"/>
          <w:sz w:val="24"/>
          <w:szCs w:val="24"/>
          <w:lang w:val="es-ES" w:eastAsia="es-CR"/>
        </w:rPr>
      </w:pPr>
    </w:p>
    <w:p w:rsidR="0073500F" w:rsidRDefault="0073500F" w:rsidP="00160674">
      <w:pPr>
        <w:shd w:val="clear" w:color="auto" w:fill="FFFFFF"/>
        <w:spacing w:before="77" w:line="300" w:lineRule="atLeast"/>
        <w:rPr>
          <w:rFonts w:ascii="Arial" w:eastAsia="Times New Roman" w:hAnsi="Arial" w:cs="Arial"/>
          <w:b/>
          <w:bCs/>
          <w:color w:val="222222"/>
          <w:sz w:val="24"/>
          <w:szCs w:val="24"/>
          <w:lang w:val="es-ES" w:eastAsia="es-CR"/>
        </w:rPr>
      </w:pPr>
      <w:r w:rsidRPr="0073500F">
        <w:rPr>
          <w:rFonts w:ascii="Arial" w:eastAsia="Times New Roman" w:hAnsi="Arial" w:cs="Arial"/>
          <w:b/>
          <w:bCs/>
          <w:color w:val="222222"/>
          <w:sz w:val="24"/>
          <w:szCs w:val="24"/>
          <w:lang w:val="es-ES" w:eastAsia="es-CR"/>
        </w:rPr>
        <w:t xml:space="preserve">DOCENTE: DR. </w:t>
      </w:r>
      <w:r w:rsidR="0008472E">
        <w:rPr>
          <w:rFonts w:ascii="Arial" w:eastAsia="Times New Roman" w:hAnsi="Arial" w:cs="Arial"/>
          <w:b/>
          <w:bCs/>
          <w:color w:val="222222"/>
          <w:sz w:val="24"/>
          <w:szCs w:val="24"/>
          <w:lang w:val="es-ES" w:eastAsia="es-CR"/>
        </w:rPr>
        <w:t xml:space="preserve">AMADOR MARTINEZ </w:t>
      </w:r>
      <w:proofErr w:type="spellStart"/>
      <w:r w:rsidR="0008472E">
        <w:rPr>
          <w:rFonts w:ascii="Arial" w:eastAsia="Times New Roman" w:hAnsi="Arial" w:cs="Arial"/>
          <w:b/>
          <w:bCs/>
          <w:color w:val="222222"/>
          <w:sz w:val="24"/>
          <w:szCs w:val="24"/>
          <w:lang w:val="es-ES" w:eastAsia="es-CR"/>
        </w:rPr>
        <w:t>MARTINEZ</w:t>
      </w:r>
      <w:proofErr w:type="spellEnd"/>
    </w:p>
    <w:p w:rsidR="00160674" w:rsidRDefault="00160674" w:rsidP="00160674">
      <w:pPr>
        <w:shd w:val="clear" w:color="auto" w:fill="FFFFFF"/>
        <w:spacing w:before="77" w:line="300" w:lineRule="atLeast"/>
        <w:rPr>
          <w:rFonts w:ascii="Arial" w:eastAsia="Times New Roman" w:hAnsi="Arial" w:cs="Arial"/>
          <w:b/>
          <w:bCs/>
          <w:color w:val="222222"/>
          <w:sz w:val="24"/>
          <w:szCs w:val="24"/>
          <w:lang w:val="es-ES" w:eastAsia="es-CR"/>
        </w:rPr>
      </w:pPr>
    </w:p>
    <w:p w:rsidR="00160674" w:rsidRDefault="00160674" w:rsidP="00160674">
      <w:pPr>
        <w:shd w:val="clear" w:color="auto" w:fill="FFFFFF"/>
        <w:spacing w:before="77" w:line="300" w:lineRule="atLeast"/>
        <w:rPr>
          <w:rFonts w:ascii="Arial" w:eastAsia="Times New Roman" w:hAnsi="Arial" w:cs="Arial"/>
          <w:b/>
          <w:bCs/>
          <w:color w:val="222222"/>
          <w:sz w:val="24"/>
          <w:szCs w:val="24"/>
          <w:lang w:val="es-ES" w:eastAsia="es-CR"/>
        </w:rPr>
      </w:pPr>
    </w:p>
    <w:p w:rsidR="00160674" w:rsidRDefault="00160674" w:rsidP="00160674">
      <w:pPr>
        <w:shd w:val="clear" w:color="auto" w:fill="FFFFFF"/>
        <w:spacing w:before="77" w:line="300" w:lineRule="atLeast"/>
        <w:rPr>
          <w:rFonts w:ascii="Arial" w:eastAsia="Times New Roman" w:hAnsi="Arial" w:cs="Arial"/>
          <w:b/>
          <w:bCs/>
          <w:color w:val="222222"/>
          <w:sz w:val="24"/>
          <w:szCs w:val="24"/>
          <w:lang w:val="es-ES" w:eastAsia="es-CR"/>
        </w:rPr>
      </w:pPr>
    </w:p>
    <w:p w:rsidR="0073500F" w:rsidRDefault="0073500F" w:rsidP="00160674">
      <w:pPr>
        <w:shd w:val="clear" w:color="auto" w:fill="FFFFFF"/>
        <w:spacing w:before="77" w:line="300" w:lineRule="atLeast"/>
        <w:jc w:val="right"/>
        <w:rPr>
          <w:rFonts w:ascii="Arial" w:eastAsia="Times New Roman" w:hAnsi="Arial" w:cs="Arial"/>
          <w:b/>
          <w:bCs/>
          <w:color w:val="222222"/>
          <w:sz w:val="24"/>
          <w:szCs w:val="24"/>
          <w:lang w:val="es-ES" w:eastAsia="es-CR"/>
        </w:rPr>
      </w:pPr>
      <w:r w:rsidRPr="0073500F">
        <w:rPr>
          <w:rFonts w:ascii="Arial" w:eastAsia="Times New Roman" w:hAnsi="Arial" w:cs="Arial"/>
          <w:b/>
          <w:bCs/>
          <w:color w:val="222222"/>
          <w:sz w:val="24"/>
          <w:szCs w:val="24"/>
          <w:lang w:val="es-ES" w:eastAsia="es-CR"/>
        </w:rPr>
        <w:t xml:space="preserve">TAPACHULA, CHIAPAS A </w:t>
      </w:r>
      <w:r w:rsidR="00A22BF5">
        <w:rPr>
          <w:rFonts w:ascii="Arial" w:eastAsia="Times New Roman" w:hAnsi="Arial" w:cs="Arial"/>
          <w:b/>
          <w:bCs/>
          <w:color w:val="222222"/>
          <w:sz w:val="24"/>
          <w:szCs w:val="24"/>
          <w:lang w:val="es-ES" w:eastAsia="es-CR"/>
        </w:rPr>
        <w:t>31</w:t>
      </w:r>
      <w:r w:rsidRPr="0073500F">
        <w:rPr>
          <w:rFonts w:ascii="Arial" w:eastAsia="Times New Roman" w:hAnsi="Arial" w:cs="Arial"/>
          <w:b/>
          <w:bCs/>
          <w:color w:val="222222"/>
          <w:sz w:val="24"/>
          <w:szCs w:val="24"/>
          <w:lang w:val="es-ES" w:eastAsia="es-CR"/>
        </w:rPr>
        <w:t xml:space="preserve"> DE </w:t>
      </w:r>
      <w:r w:rsidR="0008472E">
        <w:rPr>
          <w:rFonts w:ascii="Arial" w:eastAsia="Times New Roman" w:hAnsi="Arial" w:cs="Arial"/>
          <w:b/>
          <w:bCs/>
          <w:color w:val="222222"/>
          <w:sz w:val="24"/>
          <w:szCs w:val="24"/>
          <w:lang w:val="es-ES" w:eastAsia="es-CR"/>
        </w:rPr>
        <w:t>ENERO</w:t>
      </w:r>
      <w:r w:rsidRPr="0073500F">
        <w:rPr>
          <w:rFonts w:ascii="Arial" w:eastAsia="Times New Roman" w:hAnsi="Arial" w:cs="Arial"/>
          <w:b/>
          <w:bCs/>
          <w:color w:val="222222"/>
          <w:sz w:val="24"/>
          <w:szCs w:val="24"/>
          <w:lang w:val="es-ES" w:eastAsia="es-CR"/>
        </w:rPr>
        <w:t xml:space="preserve"> DE 201</w:t>
      </w:r>
      <w:r w:rsidR="0008472E">
        <w:rPr>
          <w:rFonts w:ascii="Arial" w:eastAsia="Times New Roman" w:hAnsi="Arial" w:cs="Arial"/>
          <w:b/>
          <w:bCs/>
          <w:color w:val="222222"/>
          <w:sz w:val="24"/>
          <w:szCs w:val="24"/>
          <w:lang w:val="es-ES" w:eastAsia="es-CR"/>
        </w:rPr>
        <w:t>6</w:t>
      </w:r>
    </w:p>
    <w:p w:rsidR="00A22BF5" w:rsidRDefault="00A22BF5" w:rsidP="00160674">
      <w:pPr>
        <w:shd w:val="clear" w:color="auto" w:fill="FFFFFF"/>
        <w:spacing w:before="77" w:line="300" w:lineRule="atLeast"/>
        <w:jc w:val="right"/>
        <w:rPr>
          <w:rFonts w:ascii="Arial" w:eastAsia="Times New Roman" w:hAnsi="Arial" w:cs="Arial"/>
          <w:b/>
          <w:bCs/>
          <w:color w:val="222222"/>
          <w:sz w:val="24"/>
          <w:szCs w:val="24"/>
          <w:lang w:val="es-ES" w:eastAsia="es-CR"/>
        </w:rPr>
      </w:pPr>
    </w:p>
    <w:p w:rsidR="00A22BF5" w:rsidRPr="00A22BF5" w:rsidRDefault="00A22BF5" w:rsidP="00A22BF5">
      <w:pPr>
        <w:shd w:val="clear" w:color="auto" w:fill="FFFFFF"/>
        <w:spacing w:before="77" w:line="300" w:lineRule="atLeast"/>
        <w:jc w:val="both"/>
        <w:rPr>
          <w:rFonts w:ascii="Arial" w:eastAsia="Times New Roman" w:hAnsi="Arial" w:cs="Arial"/>
          <w:bCs/>
          <w:color w:val="222222"/>
          <w:sz w:val="24"/>
          <w:szCs w:val="24"/>
          <w:lang w:val="es-ES" w:eastAsia="es-CR"/>
        </w:rPr>
      </w:pPr>
      <w:r w:rsidRPr="00A22BF5">
        <w:rPr>
          <w:rFonts w:ascii="Arial" w:eastAsia="Times New Roman" w:hAnsi="Arial" w:cs="Arial"/>
          <w:bCs/>
          <w:color w:val="222222"/>
          <w:sz w:val="24"/>
          <w:szCs w:val="24"/>
          <w:lang w:val="es-ES" w:eastAsia="es-CR"/>
        </w:rPr>
        <w:t xml:space="preserve">En términos generales la declaratoria que emite el (OLACEEFS) Organización Latinoamericana y del caribe de Entidades Fiscalizadoras Superiores. Observado la aplicación de las prácticas en el concepto de rendición de cuentas a nivel Estatal y Municipal. Siempre haciendo la aclaración que aún hay municipios que no se aplica por distintos motivos, falta de comunicación satelital (internet,) de responsabilidad del funcionario público municipal aun cuando en ley está considerado. </w:t>
      </w:r>
    </w:p>
    <w:tbl>
      <w:tblPr>
        <w:tblStyle w:val="Tablaconcuadrcula"/>
        <w:tblW w:w="10774" w:type="dxa"/>
        <w:tblInd w:w="-885" w:type="dxa"/>
        <w:tblLook w:val="04A0" w:firstRow="1" w:lastRow="0" w:firstColumn="1" w:lastColumn="0" w:noHBand="0" w:noVBand="1"/>
      </w:tblPr>
      <w:tblGrid>
        <w:gridCol w:w="2553"/>
        <w:gridCol w:w="1984"/>
        <w:gridCol w:w="6237"/>
      </w:tblGrid>
      <w:tr w:rsidR="00A22BF5" w:rsidTr="00F62D34">
        <w:tc>
          <w:tcPr>
            <w:tcW w:w="2553" w:type="dxa"/>
            <w:tcBorders>
              <w:top w:val="single" w:sz="4" w:space="0" w:color="auto"/>
              <w:left w:val="single" w:sz="4" w:space="0" w:color="auto"/>
              <w:bottom w:val="single" w:sz="4" w:space="0" w:color="auto"/>
              <w:right w:val="single" w:sz="4" w:space="0" w:color="auto"/>
            </w:tcBorders>
            <w:shd w:val="pct25" w:color="C4BC96" w:fill="948A54" w:themeFill="background2" w:themeFillShade="80"/>
            <w:hideMark/>
          </w:tcPr>
          <w:p w:rsidR="00A22BF5" w:rsidRDefault="00A22BF5" w:rsidP="00F62D34">
            <w:pPr>
              <w:jc w:val="center"/>
              <w:rPr>
                <w:rFonts w:ascii="Arial" w:hAnsi="Arial" w:cs="Arial"/>
                <w:sz w:val="20"/>
                <w:szCs w:val="20"/>
              </w:rPr>
            </w:pPr>
            <w:r>
              <w:rPr>
                <w:rFonts w:ascii="Arial" w:hAnsi="Arial" w:cs="Arial"/>
                <w:sz w:val="20"/>
                <w:szCs w:val="20"/>
              </w:rPr>
              <w:t>DECLARATORIA</w:t>
            </w:r>
          </w:p>
        </w:tc>
        <w:tc>
          <w:tcPr>
            <w:tcW w:w="1984" w:type="dxa"/>
            <w:tcBorders>
              <w:top w:val="single" w:sz="4" w:space="0" w:color="auto"/>
              <w:left w:val="single" w:sz="4" w:space="0" w:color="auto"/>
              <w:bottom w:val="single" w:sz="4" w:space="0" w:color="auto"/>
              <w:right w:val="single" w:sz="4" w:space="0" w:color="auto"/>
            </w:tcBorders>
            <w:shd w:val="pct25" w:color="C4BC96" w:fill="948A54" w:themeFill="background2" w:themeFillShade="80"/>
            <w:hideMark/>
          </w:tcPr>
          <w:p w:rsidR="00A22BF5" w:rsidRDefault="00A22BF5" w:rsidP="00F62D34">
            <w:pPr>
              <w:jc w:val="center"/>
              <w:rPr>
                <w:rFonts w:ascii="Arial" w:hAnsi="Arial" w:cs="Arial"/>
                <w:sz w:val="20"/>
                <w:szCs w:val="20"/>
              </w:rPr>
            </w:pPr>
            <w:r>
              <w:rPr>
                <w:rFonts w:ascii="Arial" w:hAnsi="Arial" w:cs="Arial"/>
                <w:sz w:val="20"/>
                <w:szCs w:val="20"/>
              </w:rPr>
              <w:t>ADMINISTRACIÓN PUBLICA MUNICIPAL</w:t>
            </w:r>
          </w:p>
        </w:tc>
        <w:tc>
          <w:tcPr>
            <w:tcW w:w="6237" w:type="dxa"/>
            <w:tcBorders>
              <w:top w:val="single" w:sz="4" w:space="0" w:color="auto"/>
              <w:left w:val="single" w:sz="4" w:space="0" w:color="auto"/>
              <w:bottom w:val="single" w:sz="4" w:space="0" w:color="auto"/>
              <w:right w:val="single" w:sz="4" w:space="0" w:color="auto"/>
            </w:tcBorders>
            <w:shd w:val="pct25" w:color="C4BC96" w:fill="948A54" w:themeFill="background2" w:themeFillShade="80"/>
            <w:hideMark/>
          </w:tcPr>
          <w:p w:rsidR="00A22BF5" w:rsidRDefault="00A22BF5" w:rsidP="00F62D34">
            <w:pPr>
              <w:jc w:val="center"/>
              <w:rPr>
                <w:rFonts w:ascii="Arial" w:hAnsi="Arial" w:cs="Arial"/>
                <w:sz w:val="20"/>
                <w:szCs w:val="20"/>
              </w:rPr>
            </w:pPr>
            <w:r>
              <w:rPr>
                <w:rFonts w:ascii="Arial" w:hAnsi="Arial" w:cs="Arial"/>
                <w:sz w:val="20"/>
                <w:szCs w:val="20"/>
              </w:rPr>
              <w:t>COMENTARIOS U OBSERVACIONES</w:t>
            </w:r>
          </w:p>
        </w:tc>
      </w:tr>
      <w:tr w:rsidR="00A22BF5" w:rsidRPr="00A22BF5" w:rsidTr="00F62D34">
        <w:tc>
          <w:tcPr>
            <w:tcW w:w="2553" w:type="dxa"/>
            <w:tcBorders>
              <w:top w:val="single" w:sz="4" w:space="0" w:color="auto"/>
              <w:left w:val="single" w:sz="4" w:space="0" w:color="auto"/>
              <w:bottom w:val="single" w:sz="4" w:space="0" w:color="auto"/>
              <w:right w:val="single" w:sz="4" w:space="0" w:color="auto"/>
            </w:tcBorders>
            <w:hideMark/>
          </w:tcPr>
          <w:p w:rsidR="00A22BF5" w:rsidRPr="00A22BF5" w:rsidRDefault="00A22BF5" w:rsidP="00F62D34">
            <w:pPr>
              <w:jc w:val="both"/>
              <w:rPr>
                <w:rFonts w:ascii="Arial" w:hAnsi="Arial" w:cs="Arial"/>
                <w:sz w:val="24"/>
                <w:szCs w:val="24"/>
              </w:rPr>
            </w:pPr>
            <w:r w:rsidRPr="00A22BF5">
              <w:rPr>
                <w:rFonts w:ascii="Arial" w:hAnsi="Arial" w:cs="Arial"/>
                <w:sz w:val="24"/>
                <w:szCs w:val="24"/>
              </w:rPr>
              <w:t xml:space="preserve">La rendición de cuentas es la base para un buen gobierno. </w:t>
            </w:r>
          </w:p>
        </w:tc>
        <w:tc>
          <w:tcPr>
            <w:tcW w:w="1984"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rPr>
                <w:rFonts w:ascii="Arial" w:hAnsi="Arial" w:cs="Arial"/>
                <w:sz w:val="24"/>
                <w:szCs w:val="24"/>
              </w:rPr>
            </w:pPr>
          </w:p>
        </w:tc>
        <w:tc>
          <w:tcPr>
            <w:tcW w:w="6237"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jc w:val="both"/>
              <w:rPr>
                <w:rFonts w:ascii="Arial" w:hAnsi="Arial" w:cs="Arial"/>
                <w:sz w:val="24"/>
                <w:szCs w:val="24"/>
              </w:rPr>
            </w:pPr>
            <w:r w:rsidRPr="00A22BF5">
              <w:rPr>
                <w:rFonts w:ascii="Arial" w:hAnsi="Arial" w:cs="Arial"/>
                <w:sz w:val="24"/>
                <w:szCs w:val="24"/>
              </w:rPr>
              <w:t xml:space="preserve">En Chiapas se cuenta con el Órgano de Fiscalización Superior del Congreso del Estado. En su visión y misión se encuentra ser una institución reconocida por la sociedad, capaz de brindar transparencia y objetividad en su gestión fiscalizadora. Orientada a fomentar una cultura honesta y responsable en la Administración Pública Estatal y Municipal, en beneficio de la población y desarrollo del estado. Por lo tanto revisar y fiscalizar las cuentas públicas del Estado y Municipios, sobre el origen y aplicación de los recursos públicos. Así como el cumplimiento de los objetivos y metas establecidos, con el fin de lograr la transparencia en la rendición de cuentas e informar con veracidad, imparcialidad y oportunidad al H. Congreso del estado y a la sociedad, en términos de la legislación vigente. </w:t>
            </w:r>
          </w:p>
        </w:tc>
      </w:tr>
      <w:tr w:rsidR="00A22BF5" w:rsidRPr="00A22BF5" w:rsidTr="00F62D34">
        <w:tc>
          <w:tcPr>
            <w:tcW w:w="2553" w:type="dxa"/>
            <w:tcBorders>
              <w:top w:val="single" w:sz="4" w:space="0" w:color="auto"/>
              <w:left w:val="single" w:sz="4" w:space="0" w:color="auto"/>
              <w:bottom w:val="single" w:sz="4" w:space="0" w:color="auto"/>
              <w:right w:val="single" w:sz="4" w:space="0" w:color="auto"/>
            </w:tcBorders>
            <w:hideMark/>
          </w:tcPr>
          <w:p w:rsidR="00A22BF5" w:rsidRPr="00A22BF5" w:rsidRDefault="00A22BF5" w:rsidP="00F62D34">
            <w:pPr>
              <w:jc w:val="both"/>
              <w:rPr>
                <w:rFonts w:ascii="Arial" w:hAnsi="Arial" w:cs="Arial"/>
                <w:sz w:val="24"/>
                <w:szCs w:val="24"/>
              </w:rPr>
            </w:pPr>
            <w:r w:rsidRPr="00A22BF5">
              <w:rPr>
                <w:rFonts w:ascii="Arial" w:hAnsi="Arial" w:cs="Arial"/>
                <w:sz w:val="24"/>
                <w:szCs w:val="24"/>
              </w:rPr>
              <w:t>Obligación de informar y justificar.</w:t>
            </w:r>
          </w:p>
        </w:tc>
        <w:tc>
          <w:tcPr>
            <w:tcW w:w="1984"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rPr>
                <w:rFonts w:ascii="Arial" w:hAnsi="Arial" w:cs="Arial"/>
                <w:sz w:val="24"/>
                <w:szCs w:val="24"/>
              </w:rPr>
            </w:pPr>
          </w:p>
        </w:tc>
        <w:tc>
          <w:tcPr>
            <w:tcW w:w="6237"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jc w:val="both"/>
              <w:rPr>
                <w:rFonts w:ascii="Arial" w:hAnsi="Arial" w:cs="Arial"/>
                <w:sz w:val="24"/>
                <w:szCs w:val="24"/>
              </w:rPr>
            </w:pPr>
            <w:r w:rsidRPr="00A22BF5">
              <w:rPr>
                <w:rFonts w:ascii="Arial" w:hAnsi="Arial" w:cs="Arial"/>
                <w:sz w:val="24"/>
                <w:szCs w:val="24"/>
              </w:rPr>
              <w:t>En la administración pública municipal el tesorero informa y justifica de los recursos financieros, presupuestario que ejercicio en el periodo que corresponda, (mensual, trimestral y anual) así mismo el director de obras públicas informa de las acciones que ejerce en infraestructura.</w:t>
            </w:r>
          </w:p>
          <w:p w:rsidR="00A22BF5" w:rsidRPr="00A22BF5" w:rsidRDefault="00A22BF5" w:rsidP="00F62D34">
            <w:pPr>
              <w:rPr>
                <w:rFonts w:ascii="Arial" w:hAnsi="Arial" w:cs="Arial"/>
                <w:sz w:val="24"/>
                <w:szCs w:val="24"/>
              </w:rPr>
            </w:pPr>
          </w:p>
        </w:tc>
      </w:tr>
      <w:tr w:rsidR="00A22BF5" w:rsidRPr="00A22BF5" w:rsidTr="00F62D34">
        <w:tc>
          <w:tcPr>
            <w:tcW w:w="2553" w:type="dxa"/>
            <w:tcBorders>
              <w:top w:val="single" w:sz="4" w:space="0" w:color="auto"/>
              <w:left w:val="single" w:sz="4" w:space="0" w:color="auto"/>
              <w:bottom w:val="single" w:sz="4" w:space="0" w:color="auto"/>
              <w:right w:val="single" w:sz="4" w:space="0" w:color="auto"/>
            </w:tcBorders>
            <w:hideMark/>
          </w:tcPr>
          <w:p w:rsidR="00A22BF5" w:rsidRPr="00A22BF5" w:rsidRDefault="00A22BF5" w:rsidP="00F62D34">
            <w:pPr>
              <w:jc w:val="both"/>
              <w:rPr>
                <w:rFonts w:ascii="Arial" w:hAnsi="Arial" w:cs="Arial"/>
                <w:sz w:val="24"/>
                <w:szCs w:val="24"/>
              </w:rPr>
            </w:pPr>
            <w:r w:rsidRPr="00A22BF5">
              <w:rPr>
                <w:rFonts w:ascii="Arial" w:hAnsi="Arial" w:cs="Arial"/>
                <w:sz w:val="24"/>
                <w:szCs w:val="24"/>
              </w:rPr>
              <w:t>Integralidad del sistema de rendición de cuentas.</w:t>
            </w:r>
          </w:p>
        </w:tc>
        <w:tc>
          <w:tcPr>
            <w:tcW w:w="1984"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rPr>
                <w:rFonts w:ascii="Arial" w:hAnsi="Arial" w:cs="Arial"/>
                <w:sz w:val="24"/>
                <w:szCs w:val="24"/>
              </w:rPr>
            </w:pPr>
          </w:p>
        </w:tc>
        <w:tc>
          <w:tcPr>
            <w:tcW w:w="6237"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jc w:val="both"/>
              <w:rPr>
                <w:rFonts w:ascii="Arial" w:hAnsi="Arial" w:cs="Arial"/>
                <w:sz w:val="24"/>
                <w:szCs w:val="24"/>
              </w:rPr>
            </w:pPr>
            <w:r w:rsidRPr="00A22BF5">
              <w:rPr>
                <w:rFonts w:ascii="Arial" w:hAnsi="Arial" w:cs="Arial"/>
                <w:sz w:val="24"/>
                <w:szCs w:val="24"/>
              </w:rPr>
              <w:t xml:space="preserve">La red de actores sociales es el medio por el cual el OFSCE en Chiapas toma las decisiones en realizar monitoreo y así mismo revisiones de los entes públicos municipales para dar cumplimiento a las denuncias de los ciudadanos. </w:t>
            </w:r>
          </w:p>
          <w:p w:rsidR="00A22BF5" w:rsidRPr="00A22BF5" w:rsidRDefault="00A22BF5" w:rsidP="00F62D34">
            <w:pPr>
              <w:rPr>
                <w:rFonts w:ascii="Arial" w:hAnsi="Arial" w:cs="Arial"/>
                <w:sz w:val="24"/>
                <w:szCs w:val="24"/>
              </w:rPr>
            </w:pPr>
          </w:p>
        </w:tc>
      </w:tr>
      <w:tr w:rsidR="00A22BF5" w:rsidRPr="00A22BF5" w:rsidTr="00F62D34">
        <w:tc>
          <w:tcPr>
            <w:tcW w:w="2553" w:type="dxa"/>
            <w:tcBorders>
              <w:top w:val="single" w:sz="4" w:space="0" w:color="auto"/>
              <w:left w:val="single" w:sz="4" w:space="0" w:color="auto"/>
              <w:bottom w:val="single" w:sz="4" w:space="0" w:color="auto"/>
              <w:right w:val="single" w:sz="4" w:space="0" w:color="auto"/>
            </w:tcBorders>
            <w:hideMark/>
          </w:tcPr>
          <w:p w:rsidR="00A22BF5" w:rsidRPr="00A22BF5" w:rsidRDefault="00A22BF5" w:rsidP="00F62D34">
            <w:pPr>
              <w:jc w:val="both"/>
              <w:rPr>
                <w:rFonts w:ascii="Arial" w:hAnsi="Arial" w:cs="Arial"/>
                <w:sz w:val="24"/>
                <w:szCs w:val="24"/>
              </w:rPr>
            </w:pPr>
            <w:r w:rsidRPr="00A22BF5">
              <w:rPr>
                <w:rFonts w:ascii="Arial" w:hAnsi="Arial" w:cs="Arial"/>
                <w:sz w:val="24"/>
                <w:szCs w:val="24"/>
              </w:rPr>
              <w:t>Transparencia de la información.</w:t>
            </w:r>
          </w:p>
        </w:tc>
        <w:tc>
          <w:tcPr>
            <w:tcW w:w="1984"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rPr>
                <w:rFonts w:ascii="Arial" w:hAnsi="Arial" w:cs="Arial"/>
                <w:sz w:val="24"/>
                <w:szCs w:val="24"/>
              </w:rPr>
            </w:pPr>
          </w:p>
        </w:tc>
        <w:tc>
          <w:tcPr>
            <w:tcW w:w="6237"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jc w:val="both"/>
              <w:rPr>
                <w:rFonts w:ascii="Arial" w:hAnsi="Arial" w:cs="Arial"/>
                <w:sz w:val="24"/>
                <w:szCs w:val="24"/>
              </w:rPr>
            </w:pPr>
            <w:r w:rsidRPr="00A22BF5">
              <w:rPr>
                <w:rFonts w:ascii="Arial" w:hAnsi="Arial" w:cs="Arial"/>
                <w:sz w:val="24"/>
                <w:szCs w:val="24"/>
              </w:rPr>
              <w:t>Mediante el CONAC a emitidos normatividad a la contabilidad gubernamental, Ley de contabilidad gubernamental</w:t>
            </w:r>
            <w:r w:rsidRPr="00A22BF5">
              <w:rPr>
                <w:rStyle w:val="Refdenotaalpie"/>
                <w:rFonts w:ascii="Arial" w:hAnsi="Arial" w:cs="Arial"/>
                <w:sz w:val="24"/>
                <w:szCs w:val="24"/>
              </w:rPr>
              <w:footnoteReference w:id="1"/>
            </w:r>
            <w:r w:rsidRPr="00A22BF5">
              <w:rPr>
                <w:rFonts w:ascii="Arial" w:hAnsi="Arial" w:cs="Arial"/>
                <w:sz w:val="24"/>
                <w:szCs w:val="24"/>
              </w:rPr>
              <w:t xml:space="preserve"> en la cual hoy en día obliga a los entes </w:t>
            </w:r>
            <w:r w:rsidRPr="00A22BF5">
              <w:rPr>
                <w:rFonts w:ascii="Arial" w:hAnsi="Arial" w:cs="Arial"/>
                <w:sz w:val="24"/>
                <w:szCs w:val="24"/>
              </w:rPr>
              <w:lastRenderedPageBreak/>
              <w:t xml:space="preserve">públicos municipales en publicar vía internet la información financiera. </w:t>
            </w:r>
            <w:r w:rsidRPr="00A22BF5">
              <w:rPr>
                <w:rStyle w:val="Refdenotaalpie"/>
                <w:rFonts w:ascii="Arial" w:hAnsi="Arial" w:cs="Arial"/>
                <w:sz w:val="24"/>
                <w:szCs w:val="24"/>
              </w:rPr>
              <w:footnoteReference w:id="2"/>
            </w:r>
          </w:p>
        </w:tc>
      </w:tr>
      <w:tr w:rsidR="00A22BF5" w:rsidRPr="00A22BF5" w:rsidTr="00F62D34">
        <w:tc>
          <w:tcPr>
            <w:tcW w:w="2553" w:type="dxa"/>
            <w:tcBorders>
              <w:top w:val="single" w:sz="4" w:space="0" w:color="auto"/>
              <w:left w:val="single" w:sz="4" w:space="0" w:color="auto"/>
              <w:bottom w:val="single" w:sz="4" w:space="0" w:color="auto"/>
              <w:right w:val="single" w:sz="4" w:space="0" w:color="auto"/>
            </w:tcBorders>
            <w:hideMark/>
          </w:tcPr>
          <w:p w:rsidR="00A22BF5" w:rsidRPr="00A22BF5" w:rsidRDefault="00A22BF5" w:rsidP="00F62D34">
            <w:pPr>
              <w:rPr>
                <w:rFonts w:ascii="Arial" w:hAnsi="Arial" w:cs="Arial"/>
                <w:sz w:val="24"/>
                <w:szCs w:val="24"/>
              </w:rPr>
            </w:pPr>
            <w:r w:rsidRPr="00A22BF5">
              <w:rPr>
                <w:rFonts w:ascii="Arial" w:hAnsi="Arial" w:cs="Arial"/>
                <w:sz w:val="24"/>
                <w:szCs w:val="24"/>
              </w:rPr>
              <w:lastRenderedPageBreak/>
              <w:t>Sanción del incumplimiento.</w:t>
            </w:r>
          </w:p>
        </w:tc>
        <w:tc>
          <w:tcPr>
            <w:tcW w:w="1984"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rPr>
                <w:rFonts w:ascii="Arial" w:hAnsi="Arial" w:cs="Arial"/>
                <w:sz w:val="24"/>
                <w:szCs w:val="24"/>
              </w:rPr>
            </w:pPr>
          </w:p>
        </w:tc>
        <w:tc>
          <w:tcPr>
            <w:tcW w:w="6237"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jc w:val="both"/>
              <w:rPr>
                <w:rFonts w:ascii="Arial" w:hAnsi="Arial" w:cs="Arial"/>
                <w:sz w:val="24"/>
                <w:szCs w:val="24"/>
              </w:rPr>
            </w:pPr>
            <w:r w:rsidRPr="00A22BF5">
              <w:rPr>
                <w:rFonts w:ascii="Arial" w:hAnsi="Arial" w:cs="Arial"/>
                <w:sz w:val="24"/>
                <w:szCs w:val="24"/>
              </w:rPr>
              <w:t xml:space="preserve">A través de las revisiones que realiza el OFSCE a los entes públicos municipales, emite el pliego de observaciones los cuales deben de ser comprobados y justificados, posteriormente los funcionarios responsables no cumplen se pasa al jurídico el cual realiza legalmente la denuncia al congreso del estado, este es el que realiza la denuncia al ministerio público para dar cumplimiento a las irregularidades que no fueron comprobadas y justificadas. </w:t>
            </w:r>
          </w:p>
        </w:tc>
      </w:tr>
      <w:tr w:rsidR="00A22BF5" w:rsidRPr="00A22BF5" w:rsidTr="00F62D34">
        <w:tc>
          <w:tcPr>
            <w:tcW w:w="2553" w:type="dxa"/>
            <w:tcBorders>
              <w:top w:val="single" w:sz="4" w:space="0" w:color="auto"/>
              <w:left w:val="single" w:sz="4" w:space="0" w:color="auto"/>
              <w:bottom w:val="single" w:sz="4" w:space="0" w:color="auto"/>
              <w:right w:val="single" w:sz="4" w:space="0" w:color="auto"/>
            </w:tcBorders>
            <w:hideMark/>
          </w:tcPr>
          <w:p w:rsidR="00A22BF5" w:rsidRPr="00A22BF5" w:rsidRDefault="00A22BF5" w:rsidP="00F62D34">
            <w:pPr>
              <w:rPr>
                <w:rFonts w:ascii="Arial" w:hAnsi="Arial" w:cs="Arial"/>
                <w:sz w:val="24"/>
                <w:szCs w:val="24"/>
              </w:rPr>
            </w:pPr>
            <w:r w:rsidRPr="00A22BF5">
              <w:rPr>
                <w:rFonts w:ascii="Arial" w:hAnsi="Arial" w:cs="Arial"/>
                <w:sz w:val="24"/>
                <w:szCs w:val="24"/>
              </w:rPr>
              <w:t>Participación ciudadana activa.</w:t>
            </w:r>
          </w:p>
        </w:tc>
        <w:tc>
          <w:tcPr>
            <w:tcW w:w="1984"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rPr>
                <w:rFonts w:ascii="Arial" w:hAnsi="Arial" w:cs="Arial"/>
                <w:sz w:val="24"/>
                <w:szCs w:val="24"/>
              </w:rPr>
            </w:pPr>
          </w:p>
        </w:tc>
        <w:tc>
          <w:tcPr>
            <w:tcW w:w="6237"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jc w:val="both"/>
              <w:rPr>
                <w:rFonts w:ascii="Arial" w:hAnsi="Arial" w:cs="Arial"/>
                <w:sz w:val="24"/>
                <w:szCs w:val="24"/>
              </w:rPr>
            </w:pPr>
            <w:r w:rsidRPr="00A22BF5">
              <w:rPr>
                <w:rFonts w:ascii="Arial" w:hAnsi="Arial" w:cs="Arial"/>
                <w:sz w:val="24"/>
                <w:szCs w:val="24"/>
              </w:rPr>
              <w:t xml:space="preserve">En el portal del </w:t>
            </w:r>
            <w:hyperlink r:id="rId9" w:history="1">
              <w:r w:rsidRPr="00A22BF5">
                <w:rPr>
                  <w:rStyle w:val="Hipervnculo"/>
                  <w:rFonts w:ascii="Arial" w:hAnsi="Arial" w:cs="Arial"/>
                  <w:sz w:val="24"/>
                  <w:szCs w:val="24"/>
                </w:rPr>
                <w:t>www.ofsce.gob.mx</w:t>
              </w:r>
            </w:hyperlink>
            <w:r w:rsidRPr="00A22BF5">
              <w:rPr>
                <w:rFonts w:ascii="Arial" w:hAnsi="Arial" w:cs="Arial"/>
                <w:sz w:val="24"/>
                <w:szCs w:val="24"/>
              </w:rPr>
              <w:t xml:space="preserve"> cuenta con un buzón virtual que es </w:t>
            </w:r>
            <w:proofErr w:type="gramStart"/>
            <w:r w:rsidRPr="00A22BF5">
              <w:rPr>
                <w:rFonts w:ascii="Arial" w:hAnsi="Arial" w:cs="Arial"/>
                <w:sz w:val="24"/>
                <w:szCs w:val="24"/>
              </w:rPr>
              <w:t>la</w:t>
            </w:r>
            <w:proofErr w:type="gramEnd"/>
            <w:r w:rsidRPr="00A22BF5">
              <w:rPr>
                <w:rFonts w:ascii="Arial" w:hAnsi="Arial" w:cs="Arial"/>
                <w:sz w:val="24"/>
                <w:szCs w:val="24"/>
              </w:rPr>
              <w:t xml:space="preserve"> siguiente proceso: Inicio.- Contraloría Social, </w:t>
            </w:r>
            <w:r w:rsidRPr="00A22BF5">
              <w:rPr>
                <w:rFonts w:ascii="Arial" w:hAnsi="Arial" w:cs="Arial"/>
                <w:sz w:val="24"/>
                <w:szCs w:val="24"/>
              </w:rPr>
              <w:t>así</w:t>
            </w:r>
            <w:r w:rsidRPr="00A22BF5">
              <w:rPr>
                <w:rFonts w:ascii="Arial" w:hAnsi="Arial" w:cs="Arial"/>
                <w:sz w:val="24"/>
                <w:szCs w:val="24"/>
              </w:rPr>
              <w:t xml:space="preserve"> sucesivamente en los municipios que cuentan con infraestructura de comunicación satelital actual tienen sus páginas de internet en el cual cuentan con un buzón de contraloría social. </w:t>
            </w:r>
            <w:r w:rsidRPr="00A22BF5">
              <w:rPr>
                <w:rFonts w:ascii="Arial" w:hAnsi="Arial" w:cs="Arial"/>
                <w:sz w:val="24"/>
                <w:szCs w:val="24"/>
              </w:rPr>
              <w:t>D</w:t>
            </w:r>
            <w:r w:rsidRPr="00A22BF5">
              <w:rPr>
                <w:rFonts w:ascii="Arial" w:hAnsi="Arial" w:cs="Arial"/>
                <w:sz w:val="24"/>
                <w:szCs w:val="24"/>
              </w:rPr>
              <w:t xml:space="preserve">e esta manera se crea una parte de la participación ciudadana. También hago mención que existen municipios que no tiene dicho medio de comunicación el portal de internet. </w:t>
            </w:r>
          </w:p>
          <w:p w:rsidR="00A22BF5" w:rsidRPr="00A22BF5" w:rsidRDefault="00A22BF5" w:rsidP="00F62D34">
            <w:pPr>
              <w:jc w:val="both"/>
              <w:rPr>
                <w:rFonts w:ascii="Arial" w:hAnsi="Arial" w:cs="Arial"/>
                <w:sz w:val="24"/>
                <w:szCs w:val="24"/>
              </w:rPr>
            </w:pPr>
            <w:r w:rsidRPr="00A22BF5">
              <w:rPr>
                <w:rFonts w:ascii="Arial" w:hAnsi="Arial" w:cs="Arial"/>
                <w:sz w:val="24"/>
                <w:szCs w:val="24"/>
              </w:rPr>
              <w:t xml:space="preserve">También existe participación ciudadana en la priorización de obras, proyectos y acciones que realizan los ayuntamientos municipales. </w:t>
            </w:r>
          </w:p>
        </w:tc>
      </w:tr>
      <w:tr w:rsidR="00A22BF5" w:rsidRPr="00A22BF5" w:rsidTr="00F62D34">
        <w:tc>
          <w:tcPr>
            <w:tcW w:w="2553" w:type="dxa"/>
            <w:tcBorders>
              <w:top w:val="single" w:sz="4" w:space="0" w:color="auto"/>
              <w:left w:val="single" w:sz="4" w:space="0" w:color="auto"/>
              <w:bottom w:val="single" w:sz="4" w:space="0" w:color="auto"/>
              <w:right w:val="single" w:sz="4" w:space="0" w:color="auto"/>
            </w:tcBorders>
            <w:hideMark/>
          </w:tcPr>
          <w:p w:rsidR="00A22BF5" w:rsidRPr="00A22BF5" w:rsidRDefault="00A22BF5" w:rsidP="00F62D34">
            <w:pPr>
              <w:jc w:val="both"/>
              <w:rPr>
                <w:rFonts w:ascii="Arial" w:hAnsi="Arial" w:cs="Arial"/>
                <w:sz w:val="24"/>
                <w:szCs w:val="24"/>
              </w:rPr>
            </w:pPr>
            <w:r w:rsidRPr="00A22BF5">
              <w:rPr>
                <w:rFonts w:ascii="Arial" w:hAnsi="Arial" w:cs="Arial"/>
                <w:sz w:val="24"/>
                <w:szCs w:val="24"/>
              </w:rPr>
              <w:t>Marco legal completo para la rendición de cuentas.</w:t>
            </w:r>
          </w:p>
        </w:tc>
        <w:tc>
          <w:tcPr>
            <w:tcW w:w="1984"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rPr>
                <w:rFonts w:ascii="Arial" w:hAnsi="Arial" w:cs="Arial"/>
                <w:sz w:val="24"/>
                <w:szCs w:val="24"/>
              </w:rPr>
            </w:pPr>
          </w:p>
        </w:tc>
        <w:tc>
          <w:tcPr>
            <w:tcW w:w="6237"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jc w:val="both"/>
              <w:rPr>
                <w:rFonts w:ascii="Arial" w:hAnsi="Arial" w:cs="Arial"/>
                <w:sz w:val="24"/>
                <w:szCs w:val="24"/>
              </w:rPr>
            </w:pPr>
            <w:r w:rsidRPr="00A22BF5">
              <w:rPr>
                <w:rFonts w:ascii="Arial" w:hAnsi="Arial" w:cs="Arial"/>
                <w:sz w:val="24"/>
                <w:szCs w:val="24"/>
              </w:rPr>
              <w:t xml:space="preserve">El órgano de fiscalización tiene un portal de internet </w:t>
            </w:r>
            <w:hyperlink r:id="rId10" w:history="1">
              <w:r w:rsidRPr="00A22BF5">
                <w:rPr>
                  <w:rStyle w:val="Hipervnculo"/>
                  <w:rFonts w:ascii="Arial" w:hAnsi="Arial" w:cs="Arial"/>
                  <w:sz w:val="24"/>
                  <w:szCs w:val="24"/>
                </w:rPr>
                <w:t>www.ofsce.gob.mx</w:t>
              </w:r>
            </w:hyperlink>
            <w:r w:rsidRPr="00A22BF5">
              <w:rPr>
                <w:rStyle w:val="Refdenotaalpie"/>
                <w:rFonts w:ascii="Arial" w:hAnsi="Arial" w:cs="Arial"/>
                <w:sz w:val="24"/>
                <w:szCs w:val="24"/>
              </w:rPr>
              <w:footnoteReference w:id="3"/>
            </w:r>
            <w:r w:rsidRPr="00A22BF5">
              <w:rPr>
                <w:rFonts w:ascii="Arial" w:hAnsi="Arial" w:cs="Arial"/>
                <w:sz w:val="24"/>
                <w:szCs w:val="24"/>
              </w:rPr>
              <w:t xml:space="preserve">  marco jurídico se encuentra: normatividad</w:t>
            </w:r>
            <w:r w:rsidRPr="00A22BF5">
              <w:rPr>
                <w:rStyle w:val="Refdenotaalpie"/>
                <w:rFonts w:ascii="Arial" w:hAnsi="Arial" w:cs="Arial"/>
                <w:sz w:val="24"/>
                <w:szCs w:val="24"/>
              </w:rPr>
              <w:footnoteReference w:id="4"/>
            </w:r>
            <w:r w:rsidRPr="00A22BF5">
              <w:rPr>
                <w:rFonts w:ascii="Arial" w:hAnsi="Arial" w:cs="Arial"/>
                <w:sz w:val="24"/>
                <w:szCs w:val="24"/>
              </w:rPr>
              <w:t xml:space="preserve">, constitución, leyes, decretos, códigos, reglamentos, convenios y acuerdos, por lo tanto de manera constante está impartiendo capacitación a los funcionarios públicos municipales, y antes de iniciar el periodo de gobierno que corresponda los funcionarios municipales son capacitados. </w:t>
            </w:r>
          </w:p>
          <w:p w:rsidR="00A22BF5" w:rsidRPr="00A22BF5" w:rsidRDefault="00A22BF5" w:rsidP="00F62D34">
            <w:pPr>
              <w:jc w:val="both"/>
              <w:rPr>
                <w:rFonts w:ascii="Arial" w:hAnsi="Arial" w:cs="Arial"/>
                <w:sz w:val="24"/>
                <w:szCs w:val="24"/>
              </w:rPr>
            </w:pPr>
          </w:p>
        </w:tc>
      </w:tr>
      <w:tr w:rsidR="00A22BF5" w:rsidRPr="00A22BF5" w:rsidTr="00F62D34">
        <w:tc>
          <w:tcPr>
            <w:tcW w:w="2553" w:type="dxa"/>
            <w:tcBorders>
              <w:top w:val="single" w:sz="4" w:space="0" w:color="auto"/>
              <w:left w:val="single" w:sz="4" w:space="0" w:color="auto"/>
              <w:bottom w:val="single" w:sz="4" w:space="0" w:color="auto"/>
              <w:right w:val="single" w:sz="4" w:space="0" w:color="auto"/>
            </w:tcBorders>
            <w:hideMark/>
          </w:tcPr>
          <w:p w:rsidR="00A22BF5" w:rsidRPr="00A22BF5" w:rsidRDefault="00A22BF5" w:rsidP="00F62D34">
            <w:pPr>
              <w:rPr>
                <w:rFonts w:ascii="Arial" w:hAnsi="Arial" w:cs="Arial"/>
                <w:sz w:val="24"/>
                <w:szCs w:val="24"/>
              </w:rPr>
            </w:pPr>
            <w:r w:rsidRPr="00A22BF5">
              <w:rPr>
                <w:rFonts w:ascii="Arial" w:hAnsi="Arial" w:cs="Arial"/>
                <w:sz w:val="24"/>
                <w:szCs w:val="24"/>
              </w:rPr>
              <w:t>Liderazgo de las EFS.</w:t>
            </w:r>
          </w:p>
        </w:tc>
        <w:tc>
          <w:tcPr>
            <w:tcW w:w="1984"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rPr>
                <w:rFonts w:ascii="Arial" w:hAnsi="Arial" w:cs="Arial"/>
                <w:sz w:val="24"/>
                <w:szCs w:val="24"/>
              </w:rPr>
            </w:pPr>
          </w:p>
        </w:tc>
        <w:tc>
          <w:tcPr>
            <w:tcW w:w="6237" w:type="dxa"/>
            <w:tcBorders>
              <w:top w:val="single" w:sz="4" w:space="0" w:color="auto"/>
              <w:left w:val="single" w:sz="4" w:space="0" w:color="auto"/>
              <w:bottom w:val="single" w:sz="4" w:space="0" w:color="auto"/>
              <w:right w:val="single" w:sz="4" w:space="0" w:color="auto"/>
            </w:tcBorders>
          </w:tcPr>
          <w:p w:rsidR="00A22BF5" w:rsidRPr="00A22BF5" w:rsidRDefault="00A22BF5" w:rsidP="00F62D34">
            <w:pPr>
              <w:jc w:val="both"/>
              <w:rPr>
                <w:rFonts w:ascii="Arial" w:hAnsi="Arial" w:cs="Arial"/>
                <w:sz w:val="24"/>
                <w:szCs w:val="24"/>
              </w:rPr>
            </w:pPr>
            <w:r w:rsidRPr="00A22BF5">
              <w:rPr>
                <w:rFonts w:ascii="Arial" w:hAnsi="Arial" w:cs="Arial"/>
                <w:sz w:val="24"/>
                <w:szCs w:val="24"/>
              </w:rPr>
              <w:t xml:space="preserve">En Chiapas el OFSCE  tiene una estructura diseñada para dar cumplimiento a este principio, se encuentra constituido por el decreto No. 207, publicado en el periódico oficial del estado de fecha 18 de Agosto 2003, se emite la ley de fiscalización superior del estado de Chiapas. </w:t>
            </w:r>
          </w:p>
        </w:tc>
      </w:tr>
    </w:tbl>
    <w:p w:rsidR="00A22BF5" w:rsidRPr="0073500F" w:rsidRDefault="00A22BF5" w:rsidP="00A22BF5">
      <w:pPr>
        <w:shd w:val="clear" w:color="auto" w:fill="FFFFFF"/>
        <w:spacing w:before="77" w:line="300" w:lineRule="atLeast"/>
        <w:jc w:val="both"/>
        <w:rPr>
          <w:rFonts w:ascii="Arial" w:eastAsia="Times New Roman" w:hAnsi="Arial" w:cs="Arial"/>
          <w:color w:val="222222"/>
          <w:sz w:val="24"/>
          <w:szCs w:val="24"/>
          <w:lang w:eastAsia="es-CR"/>
        </w:rPr>
      </w:pPr>
      <w:bookmarkStart w:id="0" w:name="_GoBack"/>
      <w:bookmarkEnd w:id="0"/>
    </w:p>
    <w:sectPr w:rsidR="00A22BF5" w:rsidRPr="007350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40B" w:rsidRDefault="0015140B" w:rsidP="00D125FC">
      <w:pPr>
        <w:spacing w:after="0" w:line="240" w:lineRule="auto"/>
      </w:pPr>
      <w:r>
        <w:separator/>
      </w:r>
    </w:p>
  </w:endnote>
  <w:endnote w:type="continuationSeparator" w:id="0">
    <w:p w:rsidR="0015140B" w:rsidRDefault="0015140B" w:rsidP="00D12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Electra LT Std">
    <w:altName w:val="Electra LT St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40B" w:rsidRDefault="0015140B" w:rsidP="00D125FC">
      <w:pPr>
        <w:spacing w:after="0" w:line="240" w:lineRule="auto"/>
      </w:pPr>
      <w:r>
        <w:separator/>
      </w:r>
    </w:p>
  </w:footnote>
  <w:footnote w:type="continuationSeparator" w:id="0">
    <w:p w:rsidR="0015140B" w:rsidRDefault="0015140B" w:rsidP="00D125FC">
      <w:pPr>
        <w:spacing w:after="0" w:line="240" w:lineRule="auto"/>
      </w:pPr>
      <w:r>
        <w:continuationSeparator/>
      </w:r>
    </w:p>
  </w:footnote>
  <w:footnote w:id="1">
    <w:p w:rsidR="00A22BF5" w:rsidRPr="001E37F4" w:rsidRDefault="00A22BF5" w:rsidP="00A22BF5">
      <w:pPr>
        <w:pStyle w:val="Textonotapie"/>
        <w:contextualSpacing/>
        <w:rPr>
          <w:rFonts w:ascii="Arial" w:hAnsi="Arial" w:cs="Arial"/>
          <w:sz w:val="16"/>
          <w:szCs w:val="16"/>
        </w:rPr>
      </w:pPr>
      <w:r w:rsidRPr="001E37F4">
        <w:rPr>
          <w:rStyle w:val="Refdenotaalpie"/>
          <w:rFonts w:ascii="Arial" w:hAnsi="Arial" w:cs="Arial"/>
          <w:sz w:val="16"/>
          <w:szCs w:val="16"/>
        </w:rPr>
        <w:footnoteRef/>
      </w:r>
      <w:r w:rsidRPr="001E37F4">
        <w:rPr>
          <w:rFonts w:ascii="Arial" w:hAnsi="Arial" w:cs="Arial"/>
          <w:sz w:val="16"/>
          <w:szCs w:val="16"/>
        </w:rPr>
        <w:t xml:space="preserve"> Ley de contabilidad gubernamental, Titulo 5º. </w:t>
      </w:r>
      <w:r w:rsidRPr="001E37F4">
        <w:rPr>
          <w:rFonts w:ascii="Arial" w:hAnsi="Arial" w:cs="Arial"/>
          <w:sz w:val="16"/>
          <w:szCs w:val="16"/>
        </w:rPr>
        <w:t>Capítulo</w:t>
      </w:r>
      <w:r w:rsidRPr="001E37F4">
        <w:rPr>
          <w:rFonts w:ascii="Arial" w:hAnsi="Arial" w:cs="Arial"/>
          <w:sz w:val="16"/>
          <w:szCs w:val="16"/>
        </w:rPr>
        <w:t xml:space="preserve"> 1, Art. 56,57,58 y 59</w:t>
      </w:r>
    </w:p>
  </w:footnote>
  <w:footnote w:id="2">
    <w:p w:rsidR="00A22BF5" w:rsidRPr="001E37F4" w:rsidRDefault="00A22BF5" w:rsidP="00A22BF5">
      <w:pPr>
        <w:pStyle w:val="Textonotapie"/>
        <w:contextualSpacing/>
        <w:rPr>
          <w:rFonts w:ascii="Arial" w:hAnsi="Arial" w:cs="Arial"/>
          <w:sz w:val="16"/>
          <w:szCs w:val="16"/>
        </w:rPr>
      </w:pPr>
      <w:r w:rsidRPr="001E37F4">
        <w:rPr>
          <w:rStyle w:val="Refdenotaalpie"/>
          <w:rFonts w:ascii="Arial" w:hAnsi="Arial" w:cs="Arial"/>
          <w:sz w:val="16"/>
          <w:szCs w:val="16"/>
        </w:rPr>
        <w:footnoteRef/>
      </w:r>
      <w:r w:rsidRPr="001E37F4">
        <w:rPr>
          <w:rFonts w:ascii="Arial" w:hAnsi="Arial" w:cs="Arial"/>
          <w:sz w:val="16"/>
          <w:szCs w:val="16"/>
        </w:rPr>
        <w:t xml:space="preserve"> Normatividad </w:t>
      </w:r>
      <w:r w:rsidRPr="001E37F4">
        <w:rPr>
          <w:rFonts w:ascii="Arial" w:hAnsi="Arial" w:cs="Arial"/>
          <w:sz w:val="16"/>
          <w:szCs w:val="16"/>
        </w:rPr>
        <w:t>hacendaria</w:t>
      </w:r>
      <w:r w:rsidRPr="001E37F4">
        <w:rPr>
          <w:rFonts w:ascii="Arial" w:hAnsi="Arial" w:cs="Arial"/>
          <w:sz w:val="16"/>
          <w:szCs w:val="16"/>
        </w:rPr>
        <w:t xml:space="preserve"> municipal 2015. </w:t>
      </w:r>
      <w:r w:rsidRPr="001E37F4">
        <w:rPr>
          <w:rFonts w:ascii="Arial" w:hAnsi="Arial" w:cs="Arial"/>
          <w:sz w:val="16"/>
          <w:szCs w:val="16"/>
        </w:rPr>
        <w:t>Capítulo</w:t>
      </w:r>
      <w:r w:rsidRPr="001E37F4">
        <w:rPr>
          <w:rFonts w:ascii="Arial" w:hAnsi="Arial" w:cs="Arial"/>
          <w:sz w:val="16"/>
          <w:szCs w:val="16"/>
        </w:rPr>
        <w:t xml:space="preserve"> 8, </w:t>
      </w:r>
      <w:proofErr w:type="spellStart"/>
      <w:r w:rsidRPr="001E37F4">
        <w:rPr>
          <w:rFonts w:ascii="Arial" w:hAnsi="Arial" w:cs="Arial"/>
          <w:sz w:val="16"/>
          <w:szCs w:val="16"/>
        </w:rPr>
        <w:t>pag</w:t>
      </w:r>
      <w:proofErr w:type="spellEnd"/>
      <w:r w:rsidRPr="001E37F4">
        <w:rPr>
          <w:rFonts w:ascii="Arial" w:hAnsi="Arial" w:cs="Arial"/>
          <w:sz w:val="16"/>
          <w:szCs w:val="16"/>
        </w:rPr>
        <w:t>. 54,55,56,57,</w:t>
      </w:r>
    </w:p>
  </w:footnote>
  <w:footnote w:id="3">
    <w:p w:rsidR="00A22BF5" w:rsidRDefault="00A22BF5" w:rsidP="00A22BF5">
      <w:pPr>
        <w:pStyle w:val="Textonotapie"/>
      </w:pPr>
      <w:r>
        <w:rPr>
          <w:rStyle w:val="Refdenotaalpie"/>
        </w:rPr>
        <w:footnoteRef/>
      </w:r>
      <w:r>
        <w:t xml:space="preserve"> </w:t>
      </w:r>
      <w:r>
        <w:t>Página</w:t>
      </w:r>
      <w:r>
        <w:t xml:space="preserve"> internet www.ofsce.gob.mx</w:t>
      </w:r>
    </w:p>
  </w:footnote>
  <w:footnote w:id="4">
    <w:p w:rsidR="00A22BF5" w:rsidRDefault="00A22BF5" w:rsidP="00A22BF5">
      <w:pPr>
        <w:pStyle w:val="Textonotapie"/>
        <w:contextualSpacing/>
        <w:rPr>
          <w:rFonts w:ascii="Arial" w:hAnsi="Arial" w:cs="Arial"/>
          <w:sz w:val="16"/>
          <w:szCs w:val="16"/>
        </w:rPr>
      </w:pPr>
      <w:r w:rsidRPr="001E37F4">
        <w:rPr>
          <w:rStyle w:val="Refdenotaalpie"/>
          <w:rFonts w:ascii="Arial" w:hAnsi="Arial" w:cs="Arial"/>
          <w:sz w:val="16"/>
          <w:szCs w:val="16"/>
        </w:rPr>
        <w:footnoteRef/>
      </w:r>
      <w:r w:rsidRPr="001E37F4">
        <w:rPr>
          <w:rFonts w:ascii="Arial" w:hAnsi="Arial" w:cs="Arial"/>
          <w:sz w:val="16"/>
          <w:szCs w:val="16"/>
        </w:rPr>
        <w:t xml:space="preserve"> Normatividad </w:t>
      </w:r>
      <w:r w:rsidRPr="001E37F4">
        <w:rPr>
          <w:rFonts w:ascii="Arial" w:hAnsi="Arial" w:cs="Arial"/>
          <w:sz w:val="16"/>
          <w:szCs w:val="16"/>
        </w:rPr>
        <w:t>hacendaria</w:t>
      </w:r>
      <w:r w:rsidRPr="001E37F4">
        <w:rPr>
          <w:rFonts w:ascii="Arial" w:hAnsi="Arial" w:cs="Arial"/>
          <w:sz w:val="16"/>
          <w:szCs w:val="16"/>
        </w:rPr>
        <w:t xml:space="preserve"> municipal 2015. </w:t>
      </w:r>
      <w:r w:rsidRPr="001E37F4">
        <w:rPr>
          <w:rFonts w:ascii="Arial" w:hAnsi="Arial" w:cs="Arial"/>
          <w:sz w:val="16"/>
          <w:szCs w:val="16"/>
        </w:rPr>
        <w:t>Capítulo</w:t>
      </w:r>
      <w:r w:rsidRPr="001E37F4">
        <w:rPr>
          <w:rFonts w:ascii="Arial" w:hAnsi="Arial" w:cs="Arial"/>
          <w:sz w:val="16"/>
          <w:szCs w:val="16"/>
        </w:rPr>
        <w:t xml:space="preserve"> 9 </w:t>
      </w:r>
      <w:proofErr w:type="spellStart"/>
      <w:r w:rsidRPr="001E37F4">
        <w:rPr>
          <w:rFonts w:ascii="Arial" w:hAnsi="Arial" w:cs="Arial"/>
          <w:sz w:val="16"/>
          <w:szCs w:val="16"/>
        </w:rPr>
        <w:t>paq</w:t>
      </w:r>
      <w:proofErr w:type="spellEnd"/>
      <w:r w:rsidRPr="001E37F4">
        <w:rPr>
          <w:rFonts w:ascii="Arial" w:hAnsi="Arial" w:cs="Arial"/>
          <w:sz w:val="16"/>
          <w:szCs w:val="16"/>
        </w:rPr>
        <w:t>. 58...75</w:t>
      </w:r>
    </w:p>
    <w:p w:rsidR="00A22BF5" w:rsidRPr="001E37F4" w:rsidRDefault="00A22BF5" w:rsidP="00A22BF5">
      <w:pPr>
        <w:pStyle w:val="Textonotapie"/>
        <w:contextualSpacing/>
        <w:rPr>
          <w:rFonts w:ascii="Arial" w:hAnsi="Arial" w:cs="Arial"/>
          <w:sz w:val="16"/>
          <w:szCs w:val="16"/>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63A"/>
    <w:rsid w:val="00041B38"/>
    <w:rsid w:val="00044E59"/>
    <w:rsid w:val="0008472E"/>
    <w:rsid w:val="000E7EA4"/>
    <w:rsid w:val="0010277C"/>
    <w:rsid w:val="0015140B"/>
    <w:rsid w:val="00160674"/>
    <w:rsid w:val="00171587"/>
    <w:rsid w:val="00181D8B"/>
    <w:rsid w:val="00197B02"/>
    <w:rsid w:val="00207617"/>
    <w:rsid w:val="0028033A"/>
    <w:rsid w:val="003024F5"/>
    <w:rsid w:val="0031015E"/>
    <w:rsid w:val="00320D63"/>
    <w:rsid w:val="00351824"/>
    <w:rsid w:val="004C0C20"/>
    <w:rsid w:val="0057583F"/>
    <w:rsid w:val="00590320"/>
    <w:rsid w:val="005A463A"/>
    <w:rsid w:val="005B023C"/>
    <w:rsid w:val="00603C71"/>
    <w:rsid w:val="00700061"/>
    <w:rsid w:val="0073500F"/>
    <w:rsid w:val="007E20C4"/>
    <w:rsid w:val="007E295C"/>
    <w:rsid w:val="008C59EF"/>
    <w:rsid w:val="008F50B8"/>
    <w:rsid w:val="00925788"/>
    <w:rsid w:val="00927EDF"/>
    <w:rsid w:val="00944634"/>
    <w:rsid w:val="00A22BF5"/>
    <w:rsid w:val="00A3006B"/>
    <w:rsid w:val="00A46E2D"/>
    <w:rsid w:val="00AB7E1F"/>
    <w:rsid w:val="00B92B6F"/>
    <w:rsid w:val="00BB5537"/>
    <w:rsid w:val="00BE27F9"/>
    <w:rsid w:val="00CE43F8"/>
    <w:rsid w:val="00D125FC"/>
    <w:rsid w:val="00DA1A95"/>
    <w:rsid w:val="00DF11D9"/>
    <w:rsid w:val="00DF2126"/>
    <w:rsid w:val="00E83616"/>
    <w:rsid w:val="00E86D3F"/>
    <w:rsid w:val="00EC3B88"/>
    <w:rsid w:val="00F73B91"/>
    <w:rsid w:val="00FE31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0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00F"/>
    <w:rPr>
      <w:rFonts w:ascii="Tahoma" w:hAnsi="Tahoma" w:cs="Tahoma"/>
      <w:sz w:val="16"/>
      <w:szCs w:val="16"/>
    </w:rPr>
  </w:style>
  <w:style w:type="paragraph" w:customStyle="1" w:styleId="Default">
    <w:name w:val="Default"/>
    <w:rsid w:val="00BE27F9"/>
    <w:pPr>
      <w:autoSpaceDE w:val="0"/>
      <w:autoSpaceDN w:val="0"/>
      <w:adjustRightInd w:val="0"/>
      <w:spacing w:after="0" w:line="240" w:lineRule="auto"/>
    </w:pPr>
    <w:rPr>
      <w:rFonts w:ascii="Tahoma" w:hAnsi="Tahoma" w:cs="Tahoma"/>
      <w:color w:val="000000"/>
      <w:sz w:val="24"/>
      <w:szCs w:val="24"/>
    </w:rPr>
  </w:style>
  <w:style w:type="paragraph" w:styleId="NormalWeb">
    <w:name w:val="Normal (Web)"/>
    <w:basedOn w:val="Normal"/>
    <w:uiPriority w:val="99"/>
    <w:semiHidden/>
    <w:unhideWhenUsed/>
    <w:rsid w:val="00CE43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D125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25FC"/>
    <w:rPr>
      <w:sz w:val="20"/>
      <w:szCs w:val="20"/>
    </w:rPr>
  </w:style>
  <w:style w:type="character" w:styleId="Refdenotaalpie">
    <w:name w:val="footnote reference"/>
    <w:basedOn w:val="Fuentedeprrafopredeter"/>
    <w:uiPriority w:val="99"/>
    <w:semiHidden/>
    <w:unhideWhenUsed/>
    <w:rsid w:val="00D125FC"/>
    <w:rPr>
      <w:vertAlign w:val="superscript"/>
    </w:rPr>
  </w:style>
  <w:style w:type="character" w:customStyle="1" w:styleId="A5">
    <w:name w:val="A5"/>
    <w:uiPriority w:val="99"/>
    <w:rsid w:val="00A3006B"/>
    <w:rPr>
      <w:rFonts w:cs="Electra LT Std"/>
      <w:color w:val="000000"/>
      <w:sz w:val="22"/>
      <w:szCs w:val="22"/>
    </w:rPr>
  </w:style>
  <w:style w:type="character" w:customStyle="1" w:styleId="A7">
    <w:name w:val="A7"/>
    <w:uiPriority w:val="99"/>
    <w:rsid w:val="00A3006B"/>
    <w:rPr>
      <w:rFonts w:cs="Electra LT Std"/>
      <w:color w:val="000000"/>
      <w:sz w:val="12"/>
      <w:szCs w:val="12"/>
    </w:rPr>
  </w:style>
  <w:style w:type="character" w:styleId="Hipervnculo">
    <w:name w:val="Hyperlink"/>
    <w:basedOn w:val="Fuentedeprrafopredeter"/>
    <w:uiPriority w:val="99"/>
    <w:unhideWhenUsed/>
    <w:rsid w:val="00944634"/>
    <w:rPr>
      <w:color w:val="0000FF" w:themeColor="hyperlink"/>
      <w:u w:val="single"/>
    </w:rPr>
  </w:style>
  <w:style w:type="table" w:styleId="Tablaconcuadrcula">
    <w:name w:val="Table Grid"/>
    <w:basedOn w:val="Tablanormal"/>
    <w:uiPriority w:val="59"/>
    <w:rsid w:val="00A22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22B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2BF5"/>
  </w:style>
  <w:style w:type="paragraph" w:styleId="Piedepgina">
    <w:name w:val="footer"/>
    <w:basedOn w:val="Normal"/>
    <w:link w:val="PiedepginaCar"/>
    <w:uiPriority w:val="99"/>
    <w:unhideWhenUsed/>
    <w:rsid w:val="00A22B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2B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50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500F"/>
    <w:rPr>
      <w:rFonts w:ascii="Tahoma" w:hAnsi="Tahoma" w:cs="Tahoma"/>
      <w:sz w:val="16"/>
      <w:szCs w:val="16"/>
    </w:rPr>
  </w:style>
  <w:style w:type="paragraph" w:customStyle="1" w:styleId="Default">
    <w:name w:val="Default"/>
    <w:rsid w:val="00BE27F9"/>
    <w:pPr>
      <w:autoSpaceDE w:val="0"/>
      <w:autoSpaceDN w:val="0"/>
      <w:adjustRightInd w:val="0"/>
      <w:spacing w:after="0" w:line="240" w:lineRule="auto"/>
    </w:pPr>
    <w:rPr>
      <w:rFonts w:ascii="Tahoma" w:hAnsi="Tahoma" w:cs="Tahoma"/>
      <w:color w:val="000000"/>
      <w:sz w:val="24"/>
      <w:szCs w:val="24"/>
    </w:rPr>
  </w:style>
  <w:style w:type="paragraph" w:styleId="NormalWeb">
    <w:name w:val="Normal (Web)"/>
    <w:basedOn w:val="Normal"/>
    <w:uiPriority w:val="99"/>
    <w:semiHidden/>
    <w:unhideWhenUsed/>
    <w:rsid w:val="00CE43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D125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25FC"/>
    <w:rPr>
      <w:sz w:val="20"/>
      <w:szCs w:val="20"/>
    </w:rPr>
  </w:style>
  <w:style w:type="character" w:styleId="Refdenotaalpie">
    <w:name w:val="footnote reference"/>
    <w:basedOn w:val="Fuentedeprrafopredeter"/>
    <w:uiPriority w:val="99"/>
    <w:semiHidden/>
    <w:unhideWhenUsed/>
    <w:rsid w:val="00D125FC"/>
    <w:rPr>
      <w:vertAlign w:val="superscript"/>
    </w:rPr>
  </w:style>
  <w:style w:type="character" w:customStyle="1" w:styleId="A5">
    <w:name w:val="A5"/>
    <w:uiPriority w:val="99"/>
    <w:rsid w:val="00A3006B"/>
    <w:rPr>
      <w:rFonts w:cs="Electra LT Std"/>
      <w:color w:val="000000"/>
      <w:sz w:val="22"/>
      <w:szCs w:val="22"/>
    </w:rPr>
  </w:style>
  <w:style w:type="character" w:customStyle="1" w:styleId="A7">
    <w:name w:val="A7"/>
    <w:uiPriority w:val="99"/>
    <w:rsid w:val="00A3006B"/>
    <w:rPr>
      <w:rFonts w:cs="Electra LT Std"/>
      <w:color w:val="000000"/>
      <w:sz w:val="12"/>
      <w:szCs w:val="12"/>
    </w:rPr>
  </w:style>
  <w:style w:type="character" w:styleId="Hipervnculo">
    <w:name w:val="Hyperlink"/>
    <w:basedOn w:val="Fuentedeprrafopredeter"/>
    <w:uiPriority w:val="99"/>
    <w:unhideWhenUsed/>
    <w:rsid w:val="00944634"/>
    <w:rPr>
      <w:color w:val="0000FF" w:themeColor="hyperlink"/>
      <w:u w:val="single"/>
    </w:rPr>
  </w:style>
  <w:style w:type="table" w:styleId="Tablaconcuadrcula">
    <w:name w:val="Table Grid"/>
    <w:basedOn w:val="Tablanormal"/>
    <w:uiPriority w:val="59"/>
    <w:rsid w:val="00A22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22B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2BF5"/>
  </w:style>
  <w:style w:type="paragraph" w:styleId="Piedepgina">
    <w:name w:val="footer"/>
    <w:basedOn w:val="Normal"/>
    <w:link w:val="PiedepginaCar"/>
    <w:uiPriority w:val="99"/>
    <w:unhideWhenUsed/>
    <w:rsid w:val="00A22B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2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780478">
      <w:bodyDiv w:val="1"/>
      <w:marLeft w:val="0"/>
      <w:marRight w:val="0"/>
      <w:marTop w:val="0"/>
      <w:marBottom w:val="0"/>
      <w:divBdr>
        <w:top w:val="none" w:sz="0" w:space="0" w:color="auto"/>
        <w:left w:val="none" w:sz="0" w:space="0" w:color="auto"/>
        <w:bottom w:val="none" w:sz="0" w:space="0" w:color="auto"/>
        <w:right w:val="none" w:sz="0" w:space="0" w:color="auto"/>
      </w:divBdr>
    </w:div>
    <w:div w:id="71620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fsce.gob.mx" TargetMode="External"/><Relationship Id="rId4" Type="http://schemas.openxmlformats.org/officeDocument/2006/relationships/settings" Target="settings.xml"/><Relationship Id="rId9" Type="http://schemas.openxmlformats.org/officeDocument/2006/relationships/hyperlink" Target="http://www.ofsce.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DB167-8036-4AC3-9FED-82FAF7A8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717</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End User</cp:lastModifiedBy>
  <cp:revision>3</cp:revision>
  <dcterms:created xsi:type="dcterms:W3CDTF">2016-02-01T00:13:00Z</dcterms:created>
  <dcterms:modified xsi:type="dcterms:W3CDTF">2016-02-01T00:27:00Z</dcterms:modified>
</cp:coreProperties>
</file>