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88D" w:rsidRDefault="00B74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group id="_x0000_s1101" style="position:absolute;margin-left:-35.95pt;margin-top:-63.6pt;width:521.9pt;height:833.95pt;z-index:251726848" coordorigin="982,145" coordsize="10438,16679"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28" type="#_x0000_t87" style="position:absolute;left:3182;top:145;width:524;height:15800" adj=",1089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946;top:2817;width:2285;height:401;mso-width-relative:margin;mso-height-relative:margin" filled="f" stroked="f">
              <v:textbox>
                <w:txbxContent>
                  <w:p w:rsidR="007917BC" w:rsidRDefault="007917BC">
                    <w:r>
                      <w:t>Tasas de Interés</w:t>
                    </w:r>
                  </w:p>
                </w:txbxContent>
              </v:textbox>
            </v:shape>
            <v:shape id="_x0000_s1031" type="#_x0000_t202" style="position:absolute;left:982;top:7815;width:2402;height:339;mso-width-relative:margin;mso-height-relative:margin" filled="f" stroked="f">
              <v:textbox>
                <w:txbxContent>
                  <w:p w:rsidR="007917BC" w:rsidRDefault="007917BC" w:rsidP="007917BC">
                    <w:r>
                      <w:t>Pol</w:t>
                    </w:r>
                    <w:r w:rsidR="00E26F2F">
                      <w:t>i</w:t>
                    </w:r>
                    <w:r>
                      <w:t>tica Economica</w:t>
                    </w:r>
                  </w:p>
                </w:txbxContent>
              </v:textbox>
            </v:shape>
            <v:shape id="_x0000_s1033" type="#_x0000_t202" style="position:absolute;left:3946;top:7753;width:2285;height:401;mso-width-relative:margin;mso-height-relative:margin" filled="f" stroked="f">
              <v:textbox>
                <w:txbxContent>
                  <w:p w:rsidR="000F3EFB" w:rsidRDefault="000F3EFB" w:rsidP="000F3EFB">
                    <w:r>
                      <w:t>Política Monetaria</w:t>
                    </w:r>
                  </w:p>
                </w:txbxContent>
              </v:textbox>
            </v:shape>
            <v:shape id="_x0000_s1034" type="#_x0000_t202" style="position:absolute;left:3706;top:11140;width:2285;height:888;mso-width-relative:margin;mso-height-relative:margin" filled="f" stroked="f">
              <v:textbox style="mso-next-textbox:#_x0000_s1034">
                <w:txbxContent>
                  <w:p w:rsidR="000F3EFB" w:rsidRDefault="000F3EFB" w:rsidP="000F3EFB">
                    <w:pPr>
                      <w:spacing w:after="0"/>
                    </w:pPr>
                    <w:r>
                      <w:t xml:space="preserve">Modelos de Política </w:t>
                    </w:r>
                  </w:p>
                  <w:p w:rsidR="000F3EFB" w:rsidRDefault="000F3EFB" w:rsidP="000F3EFB">
                    <w:pPr>
                      <w:spacing w:after="0"/>
                    </w:pPr>
                    <w:r>
                      <w:t>Económica en México</w:t>
                    </w:r>
                  </w:p>
                </w:txbxContent>
              </v:textbox>
            </v:shape>
            <v:shape id="_x0000_s1035" type="#_x0000_t202" style="position:absolute;left:3517;top:14435;width:2285;height:821;mso-width-relative:margin;mso-height-relative:margin" filled="f" stroked="f">
              <v:textbox>
                <w:txbxContent>
                  <w:p w:rsidR="000F3EFB" w:rsidRDefault="000F3EFB" w:rsidP="000F3EFB">
                    <w:r>
                      <w:t>Panorama de la Política Económica</w:t>
                    </w:r>
                  </w:p>
                </w:txbxContent>
              </v:textbox>
            </v:shape>
            <v:shape id="_x0000_s1036" type="#_x0000_t87" style="position:absolute;left:5591;top:1262;width:71;height:3480"/>
            <v:shape id="_x0000_s1037" type="#_x0000_t202" style="position:absolute;left:5662;top:1139;width:1878;height:401;mso-width-relative:margin;mso-height-relative:margin" filled="f" stroked="f">
              <v:textbox>
                <w:txbxContent>
                  <w:p w:rsidR="000F3EFB" w:rsidRDefault="00F3512A" w:rsidP="000F3EFB">
                    <w:r>
                      <w:t>Inflación</w:t>
                    </w:r>
                    <w:r w:rsidR="00814ACC">
                      <w:t xml:space="preserve"> B</w:t>
                    </w:r>
                    <w:r w:rsidR="000F3EFB">
                      <w:t>aja</w:t>
                    </w:r>
                  </w:p>
                </w:txbxContent>
              </v:textbox>
            </v:shape>
            <v:shape id="_x0000_s1038" type="#_x0000_t202" style="position:absolute;left:5802;top:2600;width:2285;height:743;mso-width-relative:margin;mso-height-relative:margin" filled="f" stroked="f">
              <v:textbox>
                <w:txbxContent>
                  <w:p w:rsidR="000F3EFB" w:rsidRDefault="00F3512A" w:rsidP="000F3EFB">
                    <w:r>
                      <w:t xml:space="preserve">Desaceleración </w:t>
                    </w:r>
                    <w:r w:rsidR="00814ACC">
                      <w:t>E</w:t>
                    </w:r>
                    <w:r>
                      <w:t>conómica</w:t>
                    </w:r>
                  </w:p>
                </w:txbxContent>
              </v:textbox>
            </v:shape>
            <v:shape id="_x0000_s1040" type="#_x0000_t202" style="position:absolute;left:7540;top:3000;width:1038;height:685;mso-width-relative:margin;mso-height-relative:margin" filled="f" stroked="f">
              <v:textbox>
                <w:txbxContent>
                  <w:p w:rsidR="007C0C41" w:rsidRDefault="004E7FAE" w:rsidP="007C0C41">
                    <w:r>
                      <w:t>Precios B</w:t>
                    </w:r>
                    <w:r w:rsidR="007A0ED4">
                      <w:t>ajos</w:t>
                    </w:r>
                  </w:p>
                </w:txbxContent>
              </v:textbox>
            </v:shape>
            <v:shape id="_x0000_s1041" type="#_x0000_t87" style="position:absolute;left:7078;top:780;width:71;height:1343"/>
            <v:shape id="_x0000_s1042" type="#_x0000_t202" style="position:absolute;left:7149;top:780;width:1878;height:760;mso-width-relative:margin;mso-height-relative:margin" filled="f" stroked="f">
              <v:textbox>
                <w:txbxContent>
                  <w:p w:rsidR="007A0ED4" w:rsidRDefault="004E7FAE" w:rsidP="007A0ED4">
                    <w:r>
                      <w:t>Mejores T</w:t>
                    </w:r>
                    <w:r w:rsidR="007A0ED4">
                      <w:t xml:space="preserve">asas de </w:t>
                    </w:r>
                    <w:r>
                      <w:t>I</w:t>
                    </w:r>
                    <w:r w:rsidR="007A0ED4">
                      <w:t>nterés</w:t>
                    </w:r>
                  </w:p>
                </w:txbxContent>
              </v:textbox>
            </v:shape>
            <v:shape id="_x0000_s1044" type="#_x0000_t202" style="position:absolute;left:7149;top:1380;width:2285;height:743;mso-width-relative:margin;mso-height-relative:margin" filled="f" stroked="f">
              <v:textbox>
                <w:txbxContent>
                  <w:p w:rsidR="007A0ED4" w:rsidRDefault="007A0ED4" w:rsidP="007A0ED4">
                    <w:r>
                      <w:t xml:space="preserve">Conservación de </w:t>
                    </w:r>
                    <w:r w:rsidR="004E7FAE">
                      <w:t>P</w:t>
                    </w:r>
                    <w:r>
                      <w:t>recios</w:t>
                    </w:r>
                  </w:p>
                </w:txbxContent>
              </v:textbox>
            </v:shape>
            <v:shape id="_x0000_s1045" type="#_x0000_t87" style="position:absolute;left:7398;top:2284;width:71;height:1343"/>
            <v:shape id="_x0000_s1046" type="#_x0000_t202" style="position:absolute;left:5802;top:4400;width:1038;height:481;mso-width-relative:margin;mso-height-relative:margin" filled="f" stroked="f">
              <v:textbox>
                <w:txbxContent>
                  <w:p w:rsidR="007A0ED4" w:rsidRDefault="007A0ED4" w:rsidP="007A0ED4">
                    <w:r>
                      <w:t>Deudas</w:t>
                    </w:r>
                  </w:p>
                </w:txbxContent>
              </v:textbox>
            </v:shape>
            <v:shape id="_x0000_s1047" type="#_x0000_t202" style="position:absolute;left:7540;top:2342;width:1200;height:481;mso-width-relative:margin;mso-height-relative:margin" filled="f" stroked="f">
              <v:textbox>
                <w:txbxContent>
                  <w:p w:rsidR="007A0ED4" w:rsidRDefault="007A0ED4" w:rsidP="007A0ED4">
                    <w:r>
                      <w:t>Perdida</w:t>
                    </w:r>
                    <w:r w:rsidR="00427517">
                      <w:t>s</w:t>
                    </w:r>
                  </w:p>
                </w:txbxContent>
              </v:textbox>
            </v:shape>
            <v:shape id="_x0000_s1048" type="#_x0000_t87" style="position:absolute;left:6769;top:3925;width:71;height:1343"/>
            <v:shape id="_x0000_s1049" type="#_x0000_t202" style="position:absolute;left:6982;top:4742;width:1596;height:417;mso-width-relative:margin;mso-height-relative:margin" filled="f" stroked="f">
              <v:textbox>
                <w:txbxContent>
                  <w:p w:rsidR="003974A2" w:rsidRDefault="008C0846" w:rsidP="003974A2">
                    <w:r>
                      <w:t>Exportación</w:t>
                    </w:r>
                  </w:p>
                </w:txbxContent>
              </v:textbox>
            </v:shape>
            <v:shape id="_x0000_s1050" type="#_x0000_t202" style="position:absolute;left:6982;top:3925;width:1458;height:475;mso-width-relative:margin;mso-height-relative:margin" filled="f" stroked="f">
              <v:textbox>
                <w:txbxContent>
                  <w:p w:rsidR="003974A2" w:rsidRDefault="003974A2" w:rsidP="003974A2">
                    <w:r>
                      <w:t>Importación</w:t>
                    </w:r>
                  </w:p>
                </w:txbxContent>
              </v:textbox>
            </v:shape>
            <v:shape id="_x0000_s1051" type="#_x0000_t87" style="position:absolute;left:8820;top:598;width:216;height:664"/>
            <v:shape id="_x0000_s1052" type="#_x0000_t202" style="position:absolute;left:9027;top:780;width:1580;height:359;mso-width-relative:margin;mso-height-relative:margin" filled="f" stroked="f">
              <v:textbox>
                <w:txbxContent>
                  <w:p w:rsidR="00BC7785" w:rsidRDefault="00BC7785" w:rsidP="00BC7785">
                    <w:r>
                      <w:t>Inversionistas</w:t>
                    </w:r>
                  </w:p>
                </w:txbxContent>
              </v:textbox>
            </v:shape>
            <v:shape id="_x0000_s1053" type="#_x0000_t87" style="position:absolute;left:8880;top:1380;width:136;height:664"/>
            <v:shape id="_x0000_s1054" type="#_x0000_t202" style="position:absolute;left:9027;top:1540;width:1173;height:359;mso-width-relative:margin;mso-height-relative:margin" filled="f" stroked="f">
              <v:textbox>
                <w:txbxContent>
                  <w:p w:rsidR="00BC7785" w:rsidRDefault="00BC7785" w:rsidP="00BC7785">
                    <w:r>
                      <w:t>Demanda</w:t>
                    </w:r>
                  </w:p>
                </w:txbxContent>
              </v:textbox>
            </v:shape>
            <v:shape id="_x0000_s1055" type="#_x0000_t87" style="position:absolute;left:8369;top:3736;width:71;height:664"/>
            <v:shape id="_x0000_s1056" type="#_x0000_t87" style="position:absolute;left:8369;top:4495;width:71;height:664"/>
            <v:shape id="_x0000_s1057" type="#_x0000_t202" style="position:absolute;left:8620;top:4044;width:1580;height:359;mso-width-relative:margin;mso-height-relative:margin" filled="f" stroked="f">
              <v:textbox>
                <w:txbxContent>
                  <w:p w:rsidR="00580F77" w:rsidRDefault="00580F77" w:rsidP="00580F77"/>
                </w:txbxContent>
              </v:textbox>
            </v:shape>
            <v:shape id="_x0000_s1058" type="#_x0000_t202" style="position:absolute;left:8620;top:3685;width:1580;height:359;mso-width-relative:margin;mso-height-relative:margin" filled="f" stroked="f">
              <v:textbox>
                <w:txbxContent>
                  <w:p w:rsidR="00580F77" w:rsidRDefault="00D65F74" w:rsidP="00580F77">
                    <w:r>
                      <w:t>Más</w:t>
                    </w:r>
                    <w:r w:rsidR="00580F77">
                      <w:t xml:space="preserve">  gastos</w:t>
                    </w:r>
                  </w:p>
                </w:txbxContent>
              </v:textbox>
            </v:shape>
            <v:shape id="_x0000_s1059" type="#_x0000_t202" style="position:absolute;left:8578;top:4524;width:2360;height:359;mso-width-relative:margin;mso-height-relative:margin" filled="f" stroked="f">
              <v:textbox>
                <w:txbxContent>
                  <w:p w:rsidR="00580F77" w:rsidRDefault="00D65F74" w:rsidP="00580F77">
                    <w:r>
                      <w:t>Más ganancias</w:t>
                    </w:r>
                  </w:p>
                </w:txbxContent>
              </v:textbox>
            </v:shape>
            <v:shape id="_x0000_s1060" type="#_x0000_t202" style="position:absolute;left:8620;top:4044;width:2200;height:518;mso-width-relative:margin;mso-height-relative:margin" filled="f" stroked="f">
              <v:textbox>
                <w:txbxContent>
                  <w:p w:rsidR="00D65F74" w:rsidRDefault="000C2B57" w:rsidP="00D65F74">
                    <w:r>
                      <w:t xml:space="preserve">Mayor la </w:t>
                    </w:r>
                    <w:r w:rsidR="004E7FAE">
                      <w:t>I</w:t>
                    </w:r>
                    <w:r>
                      <w:t>nversión</w:t>
                    </w:r>
                  </w:p>
                </w:txbxContent>
              </v:textbox>
            </v:shape>
            <v:shape id="_x0000_s1061" type="#_x0000_t202" style="position:absolute;left:8620;top:4881;width:2560;height:387;mso-width-relative:margin;mso-height-relative:margin" filled="f" stroked="f">
              <v:textbox>
                <w:txbxContent>
                  <w:p w:rsidR="00D65F74" w:rsidRDefault="00D65F74" w:rsidP="00D65F74">
                    <w:r>
                      <w:t xml:space="preserve">Crecimiento </w:t>
                    </w:r>
                    <w:r w:rsidR="004E7FAE">
                      <w:t>E</w:t>
                    </w:r>
                    <w:r>
                      <w:t>conómico</w:t>
                    </w:r>
                  </w:p>
                </w:txbxContent>
              </v:textbox>
            </v:shape>
            <v:shape id="_x0000_s1062" type="#_x0000_t87" style="position:absolute;left:5862;top:6172;width:171;height:3480"/>
            <v:shape id="_x0000_s1063" type="#_x0000_t87" style="position:absolute;left:8511;top:6172;width:109;height:1343"/>
            <v:shape id="_x0000_s1064" type="#_x0000_t87" style="position:absolute;left:8422;top:8621;width:107;height:1343"/>
            <v:shape id="_x0000_s1065" type="#_x0000_t202" style="position:absolute;left:5973;top:8939;width:2605;height:713;mso-width-relative:margin;mso-height-relative:margin" filled="f" stroked="f">
              <v:textbox>
                <w:txbxContent>
                  <w:p w:rsidR="00B1731F" w:rsidRDefault="00B1731F" w:rsidP="00B1731F">
                    <w:r>
                      <w:t xml:space="preserve">Dependencia </w:t>
                    </w:r>
                    <w:r w:rsidR="00A450D2">
                      <w:t>E</w:t>
                    </w:r>
                    <w:r>
                      <w:t>conómica de  Estados Unidos</w:t>
                    </w:r>
                  </w:p>
                </w:txbxContent>
              </v:textbox>
            </v:shape>
            <v:shape id="_x0000_s1066" type="#_x0000_t202" style="position:absolute;left:5973;top:6665;width:2767;height:401;mso-width-relative:margin;mso-height-relative:margin" filled="f" stroked="f">
              <v:textbox>
                <w:txbxContent>
                  <w:p w:rsidR="00B1731F" w:rsidRDefault="00B1731F" w:rsidP="00B1731F">
                    <w:r>
                      <w:t>Reservas Internacionales</w:t>
                    </w:r>
                  </w:p>
                </w:txbxContent>
              </v:textbox>
            </v:shape>
            <v:shape id="_x0000_s1067" type="#_x0000_t202" style="position:absolute;left:8620;top:6336;width:1867;height:924;mso-width-relative:margin;mso-height-relative:margin" filled="f" stroked="f">
              <v:textbox>
                <w:txbxContent>
                  <w:p w:rsidR="00A53AB1" w:rsidRDefault="001866A9" w:rsidP="00A53AB1">
                    <w:pPr>
                      <w:spacing w:after="0"/>
                    </w:pPr>
                    <w:r>
                      <w:t>Mejor Economía</w:t>
                    </w:r>
                  </w:p>
                  <w:p w:rsidR="001866A9" w:rsidRDefault="001866A9" w:rsidP="00A53AB1">
                    <w:pPr>
                      <w:spacing w:after="0"/>
                    </w:pPr>
                    <w:r>
                      <w:t xml:space="preserve"> </w:t>
                    </w:r>
                    <w:r w:rsidR="008C406B">
                      <w:t>En</w:t>
                    </w:r>
                    <w:r>
                      <w:t xml:space="preserve"> el país</w:t>
                    </w:r>
                  </w:p>
                </w:txbxContent>
              </v:textbox>
            </v:shape>
            <v:shape id="_x0000_s1068" type="#_x0000_t202" style="position:absolute;left:8620;top:9251;width:2605;height:829;mso-width-relative:margin;mso-height-relative:margin" filled="f" stroked="f">
              <v:textbox>
                <w:txbxContent>
                  <w:p w:rsidR="00E06520" w:rsidRDefault="00E06520" w:rsidP="00E06520">
                    <w:r>
                      <w:t xml:space="preserve">Condicionados a la </w:t>
                    </w:r>
                    <w:r w:rsidR="004E7FAE">
                      <w:t>E</w:t>
                    </w:r>
                    <w:r>
                      <w:t xml:space="preserve">conomía </w:t>
                    </w:r>
                    <w:r w:rsidR="004E7FAE">
                      <w:t>A</w:t>
                    </w:r>
                    <w:r>
                      <w:t>mericana</w:t>
                    </w:r>
                  </w:p>
                </w:txbxContent>
              </v:textbox>
            </v:shape>
            <v:shape id="_x0000_s1069" type="#_x0000_t202" style="position:absolute;left:8620;top:8621;width:2605;height:713;mso-width-relative:margin;mso-height-relative:margin" filled="f" stroked="f">
              <v:textbox>
                <w:txbxContent>
                  <w:p w:rsidR="00E06520" w:rsidRDefault="00A450D2" w:rsidP="00E06520">
                    <w:r>
                      <w:t>Bolsa de V</w:t>
                    </w:r>
                    <w:r w:rsidR="00E06520">
                      <w:t>alores</w:t>
                    </w:r>
                  </w:p>
                </w:txbxContent>
              </v:textbox>
            </v:shape>
            <v:shape id="_x0000_s1070" type="#_x0000_t87" style="position:absolute;left:10260;top:6172;width:136;height:1343"/>
            <v:shape id="_x0000_s1071" type="#_x0000_t202" style="position:absolute;left:10276;top:6545;width:1144;height:715;mso-width-relative:margin;mso-height-relative:margin" filled="f" stroked="f">
              <v:textbox style="mso-next-textbox:#_x0000_s1071">
                <w:txbxContent>
                  <w:p w:rsidR="00A53AB1" w:rsidRPr="00A53AB1" w:rsidRDefault="00A53AB1" w:rsidP="00A53AB1">
                    <w:r>
                      <w:t>Banco de México</w:t>
                    </w:r>
                  </w:p>
                </w:txbxContent>
              </v:textbox>
            </v:shape>
            <v:shape id="_x0000_s1072" type="#_x0000_t87" style="position:absolute;left:5822;top:10080;width:222;height:2338"/>
            <v:shape id="_x0000_s1073" type="#_x0000_t202" style="position:absolute;left:6071;top:10200;width:4416;height:548;mso-width-relative:margin;mso-height-relative:margin" filled="f" stroked="f">
              <v:textbox style="mso-next-textbox:#_x0000_s1073">
                <w:txbxContent>
                  <w:p w:rsidR="00273552" w:rsidRDefault="006D4A38" w:rsidP="00273552">
                    <w:pPr>
                      <w:spacing w:after="0"/>
                    </w:pPr>
                    <w:r>
                      <w:t>El Modelo de D</w:t>
                    </w:r>
                    <w:r w:rsidR="004B36D8">
                      <w:t>esarrollo</w:t>
                    </w:r>
                    <w:r>
                      <w:t xml:space="preserve"> E</w:t>
                    </w:r>
                    <w:r w:rsidR="004B36D8">
                      <w:t>stabilizador</w:t>
                    </w:r>
                  </w:p>
                </w:txbxContent>
              </v:textbox>
            </v:shape>
            <v:shape id="_x0000_s1074" type="#_x0000_t202" style="position:absolute;left:6071;top:10912;width:4416;height:548;mso-width-relative:margin;mso-height-relative:margin" filled="f" stroked="f">
              <v:textbox style="mso-next-textbox:#_x0000_s1074">
                <w:txbxContent>
                  <w:p w:rsidR="004B36D8" w:rsidRDefault="004B36D8" w:rsidP="004B36D8">
                    <w:pPr>
                      <w:spacing w:after="0"/>
                    </w:pPr>
                    <w:r>
                      <w:t xml:space="preserve">El </w:t>
                    </w:r>
                    <w:r w:rsidR="006D4A38">
                      <w:t>M</w:t>
                    </w:r>
                    <w:r>
                      <w:t xml:space="preserve">odelo </w:t>
                    </w:r>
                    <w:r w:rsidR="006D4A38">
                      <w:t>de D</w:t>
                    </w:r>
                    <w:r>
                      <w:t xml:space="preserve">esarrollo </w:t>
                    </w:r>
                    <w:r w:rsidR="006D4A38">
                      <w:t>C</w:t>
                    </w:r>
                    <w:r>
                      <w:t>ompartido</w:t>
                    </w:r>
                  </w:p>
                </w:txbxContent>
              </v:textbox>
            </v:shape>
            <v:shape id="_x0000_s1076" type="#_x0000_t202" style="position:absolute;left:6071;top:11460;width:5189;height:868;mso-width-relative:margin;mso-height-relative:margin" filled="f" stroked="f">
              <v:textbox style="mso-next-textbox:#_x0000_s1076">
                <w:txbxContent>
                  <w:p w:rsidR="004B36D8" w:rsidRDefault="004B36D8" w:rsidP="004B36D8">
                    <w:pPr>
                      <w:spacing w:after="0"/>
                    </w:pPr>
                    <w:r>
                      <w:t>El Modelo de  “</w:t>
                    </w:r>
                    <w:r w:rsidR="006D4A38">
                      <w:t>C</w:t>
                    </w:r>
                    <w:r>
                      <w:t>recimiento hacia</w:t>
                    </w:r>
                    <w:r w:rsidR="006D4A38">
                      <w:t xml:space="preserve"> A</w:t>
                    </w:r>
                    <w:r>
                      <w:t>fuera” o “Neoliberal”</w:t>
                    </w:r>
                  </w:p>
                </w:txbxContent>
              </v:textbox>
            </v:shape>
            <v:shape id="_x0000_s1078" type="#_x0000_t87" style="position:absolute;left:5280;top:12760;width:382;height:3840"/>
            <v:shape id="_x0000_s1080" type="#_x0000_t202" style="position:absolute;left:5435;top:13520;width:1325;height:481;mso-width-relative:margin;mso-height-relative:margin" filled="f" stroked="f">
              <v:textbox>
                <w:txbxContent>
                  <w:p w:rsidR="00E46262" w:rsidRDefault="00E46262" w:rsidP="00E46262">
                    <w:r>
                      <w:t>Inflación</w:t>
                    </w:r>
                  </w:p>
                </w:txbxContent>
              </v:textbox>
            </v:shape>
            <v:shape id="_x0000_s1081" type="#_x0000_t202" style="position:absolute;left:5444;top:15944;width:1325;height:481;mso-width-relative:margin;mso-height-relative:margin" filled="f" stroked="f">
              <v:textbox>
                <w:txbxContent>
                  <w:p w:rsidR="00386198" w:rsidRDefault="00386198" w:rsidP="00386198">
                    <w:r>
                      <w:t>Deflación</w:t>
                    </w:r>
                  </w:p>
                </w:txbxContent>
              </v:textbox>
            </v:shape>
            <v:shape id="_x0000_s1082" type="#_x0000_t87" style="position:absolute;left:6733;top:15481;width:107;height:1343"/>
            <v:shape id="_x0000_s1083" type="#_x0000_t202" style="position:absolute;left:6840;top:16344;width:2838;height:480;mso-width-relative:margin;mso-height-relative:margin" filled="f" stroked="f">
              <v:textbox>
                <w:txbxContent>
                  <w:p w:rsidR="00B621A3" w:rsidRDefault="00B621A3" w:rsidP="00B621A3">
                    <w:r>
                      <w:t>Equilibrio económico</w:t>
                    </w:r>
                  </w:p>
                </w:txbxContent>
              </v:textbox>
            </v:shape>
            <v:shape id="_x0000_s1084" type="#_x0000_t202" style="position:absolute;left:6760;top:15485;width:2267;height:460;mso-width-relative:margin;mso-height-relative:margin" filled="f" stroked="f">
              <v:textbox>
                <w:txbxContent>
                  <w:p w:rsidR="00B621A3" w:rsidRDefault="00B621A3" w:rsidP="00B621A3">
                    <w:r>
                      <w:t>Estabilidad de precios</w:t>
                    </w:r>
                  </w:p>
                </w:txbxContent>
              </v:textbox>
            </v:shape>
            <v:shape id="_x0000_s1085" type="#_x0000_t87" style="position:absolute;left:6698;top:12191;width:71;height:3065"/>
            <v:shape id="_x0000_s1086" type="#_x0000_t202" style="position:absolute;left:6698;top:13881;width:2665;height:721;mso-width-relative:margin;mso-height-relative:margin" filled="f" stroked="f">
              <v:textbox>
                <w:txbxContent>
                  <w:p w:rsidR="0018582D" w:rsidRDefault="004607C9" w:rsidP="0018582D">
                    <w:r>
                      <w:t xml:space="preserve">Ernesto Zedillo Ponce de </w:t>
                    </w:r>
                    <w:r w:rsidR="00FF1DD0">
                      <w:t>León</w:t>
                    </w:r>
                  </w:p>
                </w:txbxContent>
              </v:textbox>
            </v:shape>
            <v:shape id="_x0000_s1087" type="#_x0000_t202" style="position:absolute;left:6698;top:13400;width:3151;height:481;mso-width-relative:margin;mso-height-relative:margin" filled="f" stroked="f">
              <v:textbox>
                <w:txbxContent>
                  <w:p w:rsidR="0018582D" w:rsidRDefault="004607C9" w:rsidP="0018582D">
                    <w:r>
                      <w:t>Carlos Salinas de Gortari</w:t>
                    </w:r>
                  </w:p>
                </w:txbxContent>
              </v:textbox>
            </v:shape>
            <v:shape id="_x0000_s1088" type="#_x0000_t202" style="position:absolute;left:6733;top:12760;width:2425;height:481;mso-width-relative:margin;mso-height-relative:margin" filled="f" stroked="f">
              <v:textbox>
                <w:txbxContent>
                  <w:p w:rsidR="0018582D" w:rsidRDefault="004607C9" w:rsidP="0018582D">
                    <w:r>
                      <w:t>José López Portillo</w:t>
                    </w:r>
                  </w:p>
                </w:txbxContent>
              </v:textbox>
            </v:shape>
            <v:shape id="_x0000_s1089" type="#_x0000_t202" style="position:absolute;left:6769;top:12191;width:2665;height:481;mso-width-relative:margin;mso-height-relative:margin" filled="f" stroked="f">
              <v:textbox>
                <w:txbxContent>
                  <w:p w:rsidR="0018582D" w:rsidRDefault="004607C9" w:rsidP="0018582D">
                    <w:r>
                      <w:t>Miguel de la Madrid</w:t>
                    </w:r>
                  </w:p>
                </w:txbxContent>
              </v:textbox>
            </v:shape>
            <v:shape id="_x0000_s1090" type="#_x0000_t202" style="position:absolute;left:6698;top:14722;width:2665;height:481;mso-width-relative:margin;mso-height-relative:margin" filled="f" stroked="f">
              <v:textbox>
                <w:txbxContent>
                  <w:p w:rsidR="004607C9" w:rsidRDefault="004607C9" w:rsidP="004607C9">
                    <w:r>
                      <w:t xml:space="preserve"> Vicente Fox Quesada</w:t>
                    </w:r>
                  </w:p>
                </w:txbxContent>
              </v:textbox>
            </v:shape>
            <v:shape id="_x0000_s1091" type="#_x0000_t87" style="position:absolute;left:9020;top:12180;width:196;height:492"/>
            <v:shape id="_x0000_s1092" type="#_x0000_t87" style="position:absolute;left:9051;top:12760;width:196;height:492"/>
            <v:shape id="_x0000_s1093" type="#_x0000_t87" style="position:absolute;left:9076;top:13389;width:196;height:492"/>
            <v:shape id="_x0000_s1094" type="#_x0000_t87" style="position:absolute;left:9100;top:13990;width:196;height:492"/>
            <v:shape id="_x0000_s1095" type="#_x0000_t87" style="position:absolute;left:9076;top:14588;width:224;height:774"/>
            <v:shape id="_x0000_s1096" type="#_x0000_t202" style="position:absolute;left:9158;top:13252;width:2022;height:749;mso-width-relative:margin;mso-height-relative:margin" filled="f" stroked="f">
              <v:textbox>
                <w:txbxContent>
                  <w:p w:rsidR="007767A5" w:rsidRDefault="00654027" w:rsidP="007767A5">
                    <w:r>
                      <w:t xml:space="preserve">TLC con Estados Unidos </w:t>
                    </w:r>
                  </w:p>
                </w:txbxContent>
              </v:textbox>
            </v:shape>
            <v:shape id="_x0000_s1098" type="#_x0000_t202" style="position:absolute;left:9216;top:14001;width:2044;height:481;mso-width-relative:margin;mso-height-relative:margin" filled="f" stroked="f">
              <v:textbox>
                <w:txbxContent>
                  <w:p w:rsidR="007767A5" w:rsidRDefault="00654027" w:rsidP="007767A5">
                    <w:r>
                      <w:t>Quiebra de Bancos</w:t>
                    </w:r>
                  </w:p>
                </w:txbxContent>
              </v:textbox>
            </v:shape>
            <v:shape id="_x0000_s1099" type="#_x0000_t202" style="position:absolute;left:9216;top:14435;width:2204;height:1233;mso-width-relative:margin;mso-height-relative:margin" filled="f" stroked="f">
              <v:textbox>
                <w:txbxContent>
                  <w:p w:rsidR="007767A5" w:rsidRDefault="00654027" w:rsidP="007767A5">
                    <w:r>
                      <w:t>Incremento de precios</w:t>
                    </w:r>
                    <w:r w:rsidR="009651FF">
                      <w:t xml:space="preserve"> en </w:t>
                    </w:r>
                    <w:r>
                      <w:t xml:space="preserve"> alimentos y medicinas</w:t>
                    </w:r>
                  </w:p>
                </w:txbxContent>
              </v:textbox>
            </v:shape>
            <v:shape id="_x0000_s1100" type="#_x0000_t202" style="position:absolute;left:9158;top:12180;width:1780;height:481;mso-width-relative:margin;mso-height-relative:margin" filled="f" stroked="f">
              <v:textbox>
                <w:txbxContent>
                  <w:p w:rsidR="007767A5" w:rsidRDefault="007767A5" w:rsidP="007767A5">
                    <w:r>
                      <w:t>Deuda Externa</w:t>
                    </w:r>
                  </w:p>
                </w:txbxContent>
              </v:textbox>
            </v:shape>
          </v:group>
        </w:pict>
      </w:r>
    </w:p>
    <w:p w:rsidR="0024788D" w:rsidRDefault="0024788D">
      <w:pPr>
        <w:rPr>
          <w:rFonts w:ascii="Times New Roman" w:hAnsi="Times New Roman" w:cs="Times New Roman"/>
          <w:sz w:val="24"/>
          <w:szCs w:val="24"/>
        </w:rPr>
      </w:pPr>
    </w:p>
    <w:p w:rsidR="0024788D" w:rsidRDefault="0024788D" w:rsidP="000F3EFB">
      <w:pPr>
        <w:tabs>
          <w:tab w:val="left" w:pos="2504"/>
          <w:tab w:val="left" w:pos="5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F3EFB">
        <w:rPr>
          <w:rFonts w:ascii="Times New Roman" w:hAnsi="Times New Roman" w:cs="Times New Roman"/>
          <w:sz w:val="24"/>
          <w:szCs w:val="24"/>
        </w:rPr>
        <w:tab/>
      </w:r>
    </w:p>
    <w:p w:rsidR="0024788D" w:rsidRDefault="0024788D">
      <w:pPr>
        <w:rPr>
          <w:rFonts w:ascii="Times New Roman" w:hAnsi="Times New Roman" w:cs="Times New Roman"/>
          <w:sz w:val="24"/>
          <w:szCs w:val="24"/>
        </w:rPr>
      </w:pPr>
    </w:p>
    <w:p w:rsidR="0024788D" w:rsidRDefault="0024788D">
      <w:pPr>
        <w:rPr>
          <w:rFonts w:ascii="Times New Roman" w:hAnsi="Times New Roman" w:cs="Times New Roman"/>
          <w:sz w:val="24"/>
          <w:szCs w:val="24"/>
        </w:rPr>
      </w:pPr>
    </w:p>
    <w:p w:rsidR="0024788D" w:rsidRDefault="0024788D" w:rsidP="0024788D">
      <w:pPr>
        <w:tabs>
          <w:tab w:val="left" w:pos="2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4788D" w:rsidRDefault="000F3EFB" w:rsidP="000F3EFB">
      <w:pPr>
        <w:tabs>
          <w:tab w:val="left" w:pos="3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4788D" w:rsidRDefault="003974A2" w:rsidP="003974A2">
      <w:pPr>
        <w:tabs>
          <w:tab w:val="left" w:pos="6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4788D" w:rsidRDefault="0024788D">
      <w:pPr>
        <w:rPr>
          <w:rFonts w:ascii="Times New Roman" w:hAnsi="Times New Roman" w:cs="Times New Roman"/>
          <w:sz w:val="24"/>
          <w:szCs w:val="24"/>
        </w:rPr>
      </w:pPr>
    </w:p>
    <w:p w:rsidR="0024788D" w:rsidRDefault="0024788D">
      <w:pPr>
        <w:rPr>
          <w:rFonts w:ascii="Times New Roman" w:hAnsi="Times New Roman" w:cs="Times New Roman"/>
          <w:sz w:val="24"/>
          <w:szCs w:val="24"/>
        </w:rPr>
      </w:pPr>
    </w:p>
    <w:p w:rsidR="0024788D" w:rsidRDefault="0024788D">
      <w:pPr>
        <w:rPr>
          <w:rFonts w:ascii="Times New Roman" w:hAnsi="Times New Roman" w:cs="Times New Roman"/>
          <w:sz w:val="24"/>
          <w:szCs w:val="24"/>
        </w:rPr>
      </w:pPr>
    </w:p>
    <w:p w:rsidR="005307F6" w:rsidRDefault="0024788D" w:rsidP="005307F6">
      <w:pPr>
        <w:tabs>
          <w:tab w:val="left" w:pos="272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4788D" w:rsidRDefault="0024788D" w:rsidP="0024788D">
      <w:pPr>
        <w:tabs>
          <w:tab w:val="left" w:pos="27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4788D" w:rsidRPr="0024788D" w:rsidRDefault="007917BC" w:rsidP="007917BC">
      <w:pPr>
        <w:tabs>
          <w:tab w:val="left" w:pos="11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4788D" w:rsidRDefault="0024788D" w:rsidP="0024788D">
      <w:pPr>
        <w:rPr>
          <w:rFonts w:ascii="Times New Roman" w:hAnsi="Times New Roman" w:cs="Times New Roman"/>
          <w:sz w:val="24"/>
          <w:szCs w:val="24"/>
        </w:rPr>
      </w:pPr>
    </w:p>
    <w:p w:rsidR="0024788D" w:rsidRPr="0024788D" w:rsidRDefault="009651FF" w:rsidP="005307F6">
      <w:pPr>
        <w:tabs>
          <w:tab w:val="left" w:pos="273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97" type="#_x0000_t202" style="position:absolute;margin-left:372.85pt;margin-top:193.1pt;width:136.65pt;height:38pt;z-index:251722752;mso-width-relative:margin;mso-height-relative:margin" filled="f" stroked="f">
            <v:textbox>
              <w:txbxContent>
                <w:p w:rsidR="007767A5" w:rsidRDefault="007767A5" w:rsidP="007767A5">
                  <w:r>
                    <w:t>Defender el peso como perro</w:t>
                  </w:r>
                </w:p>
              </w:txbxContent>
            </v:textbox>
          </v:shape>
        </w:pict>
      </w:r>
      <w:r w:rsidR="0024788D">
        <w:rPr>
          <w:rFonts w:ascii="Times New Roman" w:hAnsi="Times New Roman" w:cs="Times New Roman"/>
          <w:sz w:val="24"/>
          <w:szCs w:val="24"/>
        </w:rPr>
        <w:tab/>
      </w:r>
    </w:p>
    <w:sectPr w:rsidR="0024788D" w:rsidRPr="0024788D" w:rsidSect="006D1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7B4" w:rsidRDefault="003F07B4" w:rsidP="00BC7785">
      <w:pPr>
        <w:spacing w:after="0" w:line="240" w:lineRule="auto"/>
      </w:pPr>
      <w:r>
        <w:separator/>
      </w:r>
    </w:p>
  </w:endnote>
  <w:endnote w:type="continuationSeparator" w:id="0">
    <w:p w:rsidR="003F07B4" w:rsidRDefault="003F07B4" w:rsidP="00BC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7B4" w:rsidRDefault="003F07B4" w:rsidP="00BC7785">
      <w:pPr>
        <w:spacing w:after="0" w:line="240" w:lineRule="auto"/>
      </w:pPr>
      <w:r>
        <w:separator/>
      </w:r>
    </w:p>
  </w:footnote>
  <w:footnote w:type="continuationSeparator" w:id="0">
    <w:p w:rsidR="003F07B4" w:rsidRDefault="003F07B4" w:rsidP="00BC7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788D"/>
    <w:rsid w:val="00004747"/>
    <w:rsid w:val="00014C8C"/>
    <w:rsid w:val="000B29F1"/>
    <w:rsid w:val="000B73F8"/>
    <w:rsid w:val="000C2B57"/>
    <w:rsid w:val="000F3EFB"/>
    <w:rsid w:val="001522B4"/>
    <w:rsid w:val="00174E84"/>
    <w:rsid w:val="0018582D"/>
    <w:rsid w:val="001866A9"/>
    <w:rsid w:val="001F65D2"/>
    <w:rsid w:val="002069AE"/>
    <w:rsid w:val="002429CC"/>
    <w:rsid w:val="00243C27"/>
    <w:rsid w:val="0024788D"/>
    <w:rsid w:val="00273552"/>
    <w:rsid w:val="00281DED"/>
    <w:rsid w:val="0037604C"/>
    <w:rsid w:val="00386198"/>
    <w:rsid w:val="003974A2"/>
    <w:rsid w:val="003A2380"/>
    <w:rsid w:val="003F07B4"/>
    <w:rsid w:val="00427517"/>
    <w:rsid w:val="004607C9"/>
    <w:rsid w:val="004B36D8"/>
    <w:rsid w:val="004E7FAE"/>
    <w:rsid w:val="005307F6"/>
    <w:rsid w:val="00537DB6"/>
    <w:rsid w:val="00552C74"/>
    <w:rsid w:val="00556858"/>
    <w:rsid w:val="00571387"/>
    <w:rsid w:val="00580F77"/>
    <w:rsid w:val="005872A1"/>
    <w:rsid w:val="005E1120"/>
    <w:rsid w:val="00654027"/>
    <w:rsid w:val="006C39D9"/>
    <w:rsid w:val="006D191F"/>
    <w:rsid w:val="006D4A38"/>
    <w:rsid w:val="006E17EA"/>
    <w:rsid w:val="007767A5"/>
    <w:rsid w:val="007917BC"/>
    <w:rsid w:val="007A0ED4"/>
    <w:rsid w:val="007C0C41"/>
    <w:rsid w:val="00814ACC"/>
    <w:rsid w:val="00861BDD"/>
    <w:rsid w:val="008944CF"/>
    <w:rsid w:val="008B46D1"/>
    <w:rsid w:val="008C0846"/>
    <w:rsid w:val="008C406B"/>
    <w:rsid w:val="00952160"/>
    <w:rsid w:val="009651FF"/>
    <w:rsid w:val="00994917"/>
    <w:rsid w:val="00A053BA"/>
    <w:rsid w:val="00A13D9F"/>
    <w:rsid w:val="00A450D2"/>
    <w:rsid w:val="00A53AB1"/>
    <w:rsid w:val="00AB3C86"/>
    <w:rsid w:val="00AC6A85"/>
    <w:rsid w:val="00B1731F"/>
    <w:rsid w:val="00B621A3"/>
    <w:rsid w:val="00B74157"/>
    <w:rsid w:val="00BB082F"/>
    <w:rsid w:val="00BC7785"/>
    <w:rsid w:val="00C9570E"/>
    <w:rsid w:val="00D63D3B"/>
    <w:rsid w:val="00D65F74"/>
    <w:rsid w:val="00DD5575"/>
    <w:rsid w:val="00E03680"/>
    <w:rsid w:val="00E06520"/>
    <w:rsid w:val="00E26F2F"/>
    <w:rsid w:val="00E331B9"/>
    <w:rsid w:val="00E37253"/>
    <w:rsid w:val="00E46262"/>
    <w:rsid w:val="00E72F5C"/>
    <w:rsid w:val="00E85903"/>
    <w:rsid w:val="00EE199F"/>
    <w:rsid w:val="00F3512A"/>
    <w:rsid w:val="00F66383"/>
    <w:rsid w:val="00FF1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3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8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C7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C7785"/>
  </w:style>
  <w:style w:type="paragraph" w:styleId="Piedepgina">
    <w:name w:val="footer"/>
    <w:basedOn w:val="Normal"/>
    <w:link w:val="PiedepginaCar"/>
    <w:uiPriority w:val="99"/>
    <w:semiHidden/>
    <w:unhideWhenUsed/>
    <w:rsid w:val="00BC7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C7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36780-CBEF-4466-B3E9-B440669D3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263</cp:revision>
  <dcterms:created xsi:type="dcterms:W3CDTF">2014-10-01T22:10:00Z</dcterms:created>
  <dcterms:modified xsi:type="dcterms:W3CDTF">2014-10-02T18:35:00Z</dcterms:modified>
</cp:coreProperties>
</file>