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E73" w:rsidRPr="004A6E73" w:rsidRDefault="004A6E73" w:rsidP="004A6E73">
      <w:pPr>
        <w:spacing w:after="0" w:line="240" w:lineRule="auto"/>
        <w:rPr>
          <w:rFonts w:ascii="Arial" w:eastAsia="Calibri" w:hAnsi="Arial" w:cs="Arial"/>
          <w:b/>
          <w:sz w:val="28"/>
        </w:rPr>
      </w:pPr>
      <w:r w:rsidRPr="004A6E73">
        <w:rPr>
          <w:rFonts w:ascii="Calibri" w:eastAsia="Calibri" w:hAnsi="Calibri" w:cs="Times New Roman"/>
          <w:noProof/>
          <w:lang w:eastAsia="es-MX"/>
        </w:rPr>
        <w:drawing>
          <wp:anchor distT="0" distB="0" distL="114300" distR="114300" simplePos="0" relativeHeight="251659264" behindDoc="1" locked="0" layoutInCell="1" allowOverlap="1" wp14:anchorId="376F09B8" wp14:editId="39D4AED6">
            <wp:simplePos x="0" y="0"/>
            <wp:positionH relativeFrom="column">
              <wp:posOffset>1270</wp:posOffset>
            </wp:positionH>
            <wp:positionV relativeFrom="paragraph">
              <wp:posOffset>-176530</wp:posOffset>
            </wp:positionV>
            <wp:extent cx="711200" cy="831850"/>
            <wp:effectExtent l="0" t="0" r="0" b="0"/>
            <wp:wrapNone/>
            <wp:docPr id="1" name="Imagen 1" descr="Descripción: 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AP-Chiapas"/>
                    <pic:cNvPicPr>
                      <a:picLocks noChangeAspect="1" noChangeArrowheads="1"/>
                    </pic:cNvPicPr>
                  </pic:nvPicPr>
                  <pic:blipFill>
                    <a:blip r:embed="rId5">
                      <a:extLst>
                        <a:ext uri="{28A0092B-C50C-407E-A947-70E740481C1C}">
                          <a14:useLocalDpi xmlns:a14="http://schemas.microsoft.com/office/drawing/2010/main" val="0"/>
                        </a:ext>
                      </a:extLst>
                    </a:blip>
                    <a:srcRect r="68159"/>
                    <a:stretch>
                      <a:fillRect/>
                    </a:stretch>
                  </pic:blipFill>
                  <pic:spPr bwMode="auto">
                    <a:xfrm>
                      <a:off x="0" y="0"/>
                      <a:ext cx="711200" cy="831850"/>
                    </a:xfrm>
                    <a:prstGeom prst="rect">
                      <a:avLst/>
                    </a:prstGeom>
                    <a:noFill/>
                  </pic:spPr>
                </pic:pic>
              </a:graphicData>
            </a:graphic>
            <wp14:sizeRelH relativeFrom="page">
              <wp14:pctWidth>0</wp14:pctWidth>
            </wp14:sizeRelH>
            <wp14:sizeRelV relativeFrom="page">
              <wp14:pctHeight>0</wp14:pctHeight>
            </wp14:sizeRelV>
          </wp:anchor>
        </w:drawing>
      </w:r>
    </w:p>
    <w:p w:rsidR="004A6E73" w:rsidRPr="004A6E73" w:rsidRDefault="004A6E73" w:rsidP="004A6E73">
      <w:pPr>
        <w:spacing w:after="0" w:line="240" w:lineRule="auto"/>
        <w:jc w:val="center"/>
        <w:rPr>
          <w:rFonts w:ascii="Arial" w:eastAsia="Calibri" w:hAnsi="Arial" w:cs="Arial"/>
          <w:b/>
          <w:sz w:val="28"/>
        </w:rPr>
      </w:pPr>
      <w:r w:rsidRPr="004A6E73">
        <w:rPr>
          <w:rFonts w:ascii="Arial" w:eastAsia="Calibri" w:hAnsi="Arial" w:cs="Arial"/>
          <w:b/>
          <w:sz w:val="28"/>
        </w:rPr>
        <w:t>INSTITUTO DE ADMINISTRACIÓN PÚBLICA</w:t>
      </w:r>
    </w:p>
    <w:p w:rsidR="004A6E73" w:rsidRPr="004A6E73" w:rsidRDefault="004A6E73" w:rsidP="004A6E73">
      <w:pPr>
        <w:spacing w:after="0" w:line="240" w:lineRule="auto"/>
        <w:jc w:val="center"/>
        <w:rPr>
          <w:rFonts w:ascii="Arial" w:eastAsia="Calibri" w:hAnsi="Arial" w:cs="Arial"/>
          <w:b/>
          <w:sz w:val="28"/>
        </w:rPr>
      </w:pPr>
      <w:r w:rsidRPr="004A6E73">
        <w:rPr>
          <w:rFonts w:ascii="Arial" w:eastAsia="Calibri" w:hAnsi="Arial" w:cs="Arial"/>
          <w:b/>
          <w:sz w:val="28"/>
        </w:rPr>
        <w:t>DEL ESTADO DE CHIAPAS, A. C.</w:t>
      </w: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center"/>
        <w:rPr>
          <w:rFonts w:ascii="Arial" w:eastAsia="Calibri" w:hAnsi="Arial" w:cs="Arial"/>
          <w:sz w:val="28"/>
        </w:rPr>
      </w:pPr>
      <w:r w:rsidRPr="004A6E73">
        <w:rPr>
          <w:rFonts w:ascii="Arial" w:eastAsia="Calibri" w:hAnsi="Arial" w:cs="Arial"/>
          <w:sz w:val="28"/>
        </w:rPr>
        <w:t>Maestría en</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Administración y Políticas Públicas</w:t>
      </w: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center"/>
        <w:rPr>
          <w:rFonts w:ascii="Arial" w:eastAsia="Calibri" w:hAnsi="Arial" w:cs="Arial"/>
          <w:sz w:val="28"/>
        </w:rPr>
      </w:pPr>
      <w:r w:rsidRPr="004A6E73">
        <w:rPr>
          <w:rFonts w:ascii="Arial" w:eastAsia="Calibri" w:hAnsi="Arial" w:cs="Arial"/>
          <w:sz w:val="28"/>
        </w:rPr>
        <w:t>Módulo:</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DISEÑO Y ANÁLISIS DE POLÍTICAS PÚBLICAS</w:t>
      </w: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center"/>
        <w:rPr>
          <w:rFonts w:ascii="Arial" w:eastAsia="Calibri" w:hAnsi="Arial" w:cs="Arial"/>
          <w:sz w:val="28"/>
        </w:rPr>
      </w:pPr>
      <w:r w:rsidRPr="004A6E73">
        <w:rPr>
          <w:rFonts w:ascii="Arial" w:eastAsia="Calibri" w:hAnsi="Arial" w:cs="Arial"/>
          <w:sz w:val="28"/>
        </w:rPr>
        <w:t>Docente:</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 xml:space="preserve">Dra. C. </w:t>
      </w:r>
      <w:proofErr w:type="spellStart"/>
      <w:r w:rsidRPr="004A6E73">
        <w:rPr>
          <w:rFonts w:ascii="Arial" w:eastAsia="Calibri" w:hAnsi="Arial" w:cs="Arial"/>
          <w:b/>
          <w:sz w:val="28"/>
        </w:rPr>
        <w:t>Odalys</w:t>
      </w:r>
      <w:proofErr w:type="spellEnd"/>
      <w:r w:rsidRPr="004A6E73">
        <w:rPr>
          <w:rFonts w:ascii="Arial" w:eastAsia="Calibri" w:hAnsi="Arial" w:cs="Arial"/>
          <w:b/>
          <w:sz w:val="28"/>
        </w:rPr>
        <w:t xml:space="preserve"> </w:t>
      </w:r>
      <w:proofErr w:type="spellStart"/>
      <w:r w:rsidRPr="004A6E73">
        <w:rPr>
          <w:rFonts w:ascii="Arial" w:eastAsia="Calibri" w:hAnsi="Arial" w:cs="Arial"/>
          <w:b/>
          <w:sz w:val="28"/>
        </w:rPr>
        <w:t>Peñate</w:t>
      </w:r>
      <w:proofErr w:type="spellEnd"/>
      <w:r w:rsidRPr="004A6E73">
        <w:rPr>
          <w:rFonts w:ascii="Arial" w:eastAsia="Calibri" w:hAnsi="Arial" w:cs="Arial"/>
          <w:b/>
          <w:sz w:val="28"/>
        </w:rPr>
        <w:t xml:space="preserve"> López</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Email: rhp1992.h@hotmail.com</w:t>
      </w: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center"/>
        <w:rPr>
          <w:rFonts w:ascii="Arial" w:eastAsia="Calibri" w:hAnsi="Arial" w:cs="Arial"/>
          <w:sz w:val="28"/>
        </w:rPr>
      </w:pPr>
      <w:r w:rsidRPr="004A6E73">
        <w:rPr>
          <w:rFonts w:ascii="Arial" w:eastAsia="Calibri" w:hAnsi="Arial" w:cs="Arial"/>
          <w:sz w:val="28"/>
        </w:rPr>
        <w:t>Actividad número 04:</w:t>
      </w:r>
    </w:p>
    <w:p w:rsidR="004A6E73" w:rsidRPr="004A6E73" w:rsidRDefault="004A6E73" w:rsidP="004A6E73">
      <w:pPr>
        <w:spacing w:after="0"/>
        <w:jc w:val="center"/>
        <w:rPr>
          <w:rFonts w:ascii="Arial" w:eastAsia="Calibri" w:hAnsi="Arial" w:cs="Arial"/>
          <w:b/>
          <w:sz w:val="28"/>
        </w:rPr>
      </w:pPr>
      <w:r>
        <w:rPr>
          <w:rFonts w:ascii="Arial" w:eastAsia="Calibri" w:hAnsi="Arial" w:cs="Arial"/>
          <w:b/>
          <w:sz w:val="28"/>
        </w:rPr>
        <w:t>Reporte de Lectura:</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Explique en que consiste cada uno de los pasos de la guía práctica para la utilización de</w:t>
      </w:r>
      <w:r>
        <w:rPr>
          <w:rFonts w:ascii="Arial" w:eastAsia="Calibri" w:hAnsi="Arial" w:cs="Arial"/>
          <w:b/>
          <w:sz w:val="28"/>
        </w:rPr>
        <w:t>l</w:t>
      </w:r>
      <w:r w:rsidRPr="004A6E73">
        <w:rPr>
          <w:rFonts w:ascii="Arial" w:eastAsia="Calibri" w:hAnsi="Arial" w:cs="Arial"/>
          <w:b/>
          <w:sz w:val="28"/>
        </w:rPr>
        <w:t xml:space="preserve"> método Electra.</w:t>
      </w:r>
    </w:p>
    <w:p w:rsidR="004A6E73" w:rsidRPr="004A6E73" w:rsidRDefault="004A6E73" w:rsidP="004A6E73">
      <w:pPr>
        <w:spacing w:after="0"/>
        <w:jc w:val="center"/>
        <w:rPr>
          <w:rFonts w:ascii="Arial" w:eastAsia="Calibri" w:hAnsi="Arial" w:cs="Arial"/>
          <w:b/>
          <w:sz w:val="28"/>
        </w:rPr>
      </w:pPr>
    </w:p>
    <w:p w:rsidR="004A6E73" w:rsidRPr="004A6E73" w:rsidRDefault="004A6E73" w:rsidP="004A6E73">
      <w:pPr>
        <w:spacing w:after="0"/>
        <w:jc w:val="center"/>
        <w:rPr>
          <w:rFonts w:ascii="Arial" w:eastAsia="Calibri" w:hAnsi="Arial" w:cs="Arial"/>
          <w:b/>
          <w:sz w:val="28"/>
        </w:rPr>
      </w:pPr>
    </w:p>
    <w:p w:rsidR="004A6E73" w:rsidRPr="004A6E73" w:rsidRDefault="004A6E73" w:rsidP="004A6E73">
      <w:pPr>
        <w:spacing w:after="0"/>
        <w:jc w:val="center"/>
        <w:rPr>
          <w:rFonts w:ascii="Arial" w:eastAsia="Calibri" w:hAnsi="Arial" w:cs="Arial"/>
          <w:sz w:val="28"/>
        </w:rPr>
      </w:pPr>
      <w:r w:rsidRPr="004A6E73">
        <w:rPr>
          <w:rFonts w:ascii="Arial" w:eastAsia="Calibri" w:hAnsi="Arial" w:cs="Arial"/>
          <w:sz w:val="28"/>
        </w:rPr>
        <w:t>Alumno:</w:t>
      </w:r>
    </w:p>
    <w:p w:rsidR="004A6E73" w:rsidRPr="004A6E73" w:rsidRDefault="004A6E73" w:rsidP="004A6E73">
      <w:pPr>
        <w:spacing w:after="0"/>
        <w:jc w:val="center"/>
        <w:rPr>
          <w:rFonts w:ascii="Arial" w:eastAsia="Calibri" w:hAnsi="Arial" w:cs="Arial"/>
          <w:b/>
          <w:sz w:val="28"/>
        </w:rPr>
      </w:pPr>
      <w:r w:rsidRPr="004A6E73">
        <w:rPr>
          <w:rFonts w:ascii="Arial" w:eastAsia="Calibri" w:hAnsi="Arial" w:cs="Arial"/>
          <w:b/>
          <w:sz w:val="28"/>
        </w:rPr>
        <w:t>Bernardo David Pérez Vázquez.</w:t>
      </w:r>
    </w:p>
    <w:p w:rsidR="004A6E73" w:rsidRPr="004A6E73" w:rsidRDefault="004A6E73" w:rsidP="004A6E73">
      <w:pPr>
        <w:spacing w:after="0"/>
        <w:jc w:val="center"/>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spacing w:after="0"/>
        <w:jc w:val="both"/>
        <w:rPr>
          <w:rFonts w:ascii="Arial" w:eastAsia="Calibri" w:hAnsi="Arial" w:cs="Arial"/>
          <w:b/>
          <w:sz w:val="28"/>
        </w:rPr>
      </w:pPr>
    </w:p>
    <w:p w:rsidR="004A6E73" w:rsidRPr="004A6E73" w:rsidRDefault="004A6E73" w:rsidP="004A6E73">
      <w:pPr>
        <w:jc w:val="right"/>
        <w:rPr>
          <w:rFonts w:ascii="Arial" w:eastAsia="Calibri" w:hAnsi="Arial" w:cs="Arial"/>
        </w:rPr>
      </w:pPr>
      <w:r w:rsidRPr="004A6E73">
        <w:rPr>
          <w:rFonts w:ascii="Arial" w:eastAsia="Calibri" w:hAnsi="Arial" w:cs="Arial"/>
        </w:rPr>
        <w:t xml:space="preserve">Tapachula </w:t>
      </w:r>
      <w:r>
        <w:rPr>
          <w:rFonts w:ascii="Arial" w:eastAsia="Calibri" w:hAnsi="Arial" w:cs="Arial"/>
        </w:rPr>
        <w:t>de Córdova y Ordoñez, Chiapas; 2</w:t>
      </w:r>
      <w:r w:rsidRPr="004A6E73">
        <w:rPr>
          <w:rFonts w:ascii="Arial" w:eastAsia="Calibri" w:hAnsi="Arial" w:cs="Arial"/>
        </w:rPr>
        <w:t>3 de mayo de 2015.</w:t>
      </w:r>
    </w:p>
    <w:p w:rsidR="004A6E73" w:rsidRDefault="004A6E73">
      <w:pPr>
        <w:rPr>
          <w:rFonts w:ascii="Arial" w:hAnsi="Arial" w:cs="Arial"/>
        </w:rPr>
      </w:pPr>
      <w:r>
        <w:rPr>
          <w:rFonts w:ascii="Arial" w:hAnsi="Arial" w:cs="Arial"/>
        </w:rPr>
        <w:br w:type="page"/>
      </w:r>
    </w:p>
    <w:p w:rsidR="00DB2BAA" w:rsidRDefault="00F5026D" w:rsidP="00EF643C">
      <w:pPr>
        <w:spacing w:after="0" w:line="360" w:lineRule="auto"/>
        <w:jc w:val="both"/>
        <w:rPr>
          <w:rFonts w:ascii="Arial" w:hAnsi="Arial" w:cs="Arial"/>
        </w:rPr>
      </w:pPr>
      <w:r>
        <w:rPr>
          <w:rFonts w:ascii="Arial" w:hAnsi="Arial" w:cs="Arial"/>
        </w:rPr>
        <w:lastRenderedPageBreak/>
        <w:t xml:space="preserve">Tablero de control o </w:t>
      </w:r>
      <w:proofErr w:type="spellStart"/>
      <w:r>
        <w:rPr>
          <w:rFonts w:ascii="Arial" w:hAnsi="Arial" w:cs="Arial"/>
        </w:rPr>
        <w:t>Checklist</w:t>
      </w:r>
      <w:proofErr w:type="spellEnd"/>
      <w:r>
        <w:rPr>
          <w:rFonts w:ascii="Arial" w:hAnsi="Arial" w:cs="Arial"/>
        </w:rPr>
        <w:t xml:space="preserve"> que permite analizar el problema de manera sistemática y poder diagnosticar en todo momento las diferentes fases del proceso y la forma en que éstas se retroalimentan y corrigen entre ellas.</w:t>
      </w:r>
    </w:p>
    <w:p w:rsidR="00F5026D" w:rsidRDefault="00F5026D" w:rsidP="00EF643C">
      <w:pPr>
        <w:spacing w:after="0" w:line="360" w:lineRule="auto"/>
        <w:jc w:val="both"/>
        <w:rPr>
          <w:rFonts w:ascii="Arial" w:hAnsi="Arial" w:cs="Arial"/>
        </w:rPr>
      </w:pPr>
      <w:r w:rsidRPr="00D50422">
        <w:rPr>
          <w:rFonts w:ascii="Arial" w:hAnsi="Arial" w:cs="Arial"/>
          <w:i/>
        </w:rPr>
        <w:t>Definición y delimitación del problema.</w:t>
      </w:r>
      <w:r>
        <w:rPr>
          <w:rFonts w:ascii="Arial" w:hAnsi="Arial" w:cs="Arial"/>
        </w:rPr>
        <w:t xml:space="preserve"> Ubicar con precisión un problema es de vital importancia. </w:t>
      </w:r>
      <w:r w:rsidR="00824945">
        <w:rPr>
          <w:rFonts w:ascii="Arial" w:hAnsi="Arial" w:cs="Arial"/>
        </w:rPr>
        <w:t>Es indispensable determinar, de entrada, si el problema es independiente o está relacionado con otros y, si es el caso, en qué medida. Es preciso tener muy claro cuál es el problema que se afronta y si la decisión que se tome no generará otros problemas más graves. Para garantizar el éxito razonable es necesario trabajar con equipos interdisciplinarios y políticamente heterogéneos que defiendan posiciones encontradas y que reconstruyan el problema desde su óptica disciplinaria o sus preferencias políticas. En esta clase de trabajo quedan descartados los serviles. La importancia de estos grupos es servir de anteojos a quien toma las decisiones.</w:t>
      </w:r>
    </w:p>
    <w:p w:rsidR="00D50422" w:rsidRDefault="00D50422" w:rsidP="007E2AA1">
      <w:pPr>
        <w:spacing w:after="0" w:line="360" w:lineRule="auto"/>
        <w:jc w:val="both"/>
        <w:rPr>
          <w:rFonts w:ascii="Arial" w:hAnsi="Arial" w:cs="Arial"/>
        </w:rPr>
      </w:pPr>
      <w:r w:rsidRPr="00D50422">
        <w:rPr>
          <w:rFonts w:ascii="Arial" w:hAnsi="Arial" w:cs="Arial"/>
          <w:i/>
        </w:rPr>
        <w:t>Forjar consenso</w:t>
      </w:r>
      <w:r>
        <w:rPr>
          <w:rFonts w:ascii="Arial" w:hAnsi="Arial" w:cs="Arial"/>
        </w:rPr>
        <w:t>. Una vez</w:t>
      </w:r>
      <w:r w:rsidR="003D7C8C">
        <w:rPr>
          <w:rFonts w:ascii="Arial" w:hAnsi="Arial" w:cs="Arial"/>
        </w:rPr>
        <w:t xml:space="preserve"> identificado el problema y sus múltiples relaciones, quien toma las decisiones debe hacer un cabildeo con las dependencias y organizaciones que se verían afectadas o implicadas por la decisión. En este proceso, el actor realizará una tarea de sensibilización y búsqueda de alianzas con los restantes actores institucionales. Un asunto crucial en esta fase es tener en cartera planes de acción que mitiguen los efectos de la decisión tomada sobre el campo de decisión de las otras dependencias implicadas. Esto le permitirá reducir el rechazo inicial.</w:t>
      </w:r>
    </w:p>
    <w:p w:rsidR="007E2AA1" w:rsidRDefault="007E2AA1" w:rsidP="007E2AA1">
      <w:pPr>
        <w:spacing w:after="0" w:line="360" w:lineRule="auto"/>
        <w:jc w:val="both"/>
        <w:rPr>
          <w:rFonts w:ascii="Arial" w:hAnsi="Arial" w:cs="Arial"/>
        </w:rPr>
      </w:pPr>
      <w:r>
        <w:rPr>
          <w:rFonts w:ascii="Arial" w:hAnsi="Arial" w:cs="Arial"/>
          <w:i/>
        </w:rPr>
        <w:t>Localización de los grupos afectados.</w:t>
      </w:r>
      <w:r>
        <w:rPr>
          <w:rFonts w:ascii="Arial" w:hAnsi="Arial" w:cs="Arial"/>
        </w:rPr>
        <w:t xml:space="preserve"> Se trata de ubicar a la población que será afectada por la decisión. No todos los grupos socio-profesionales tienen las mismas reacciones ante una decisión pública. Recuérdese que cuando se planteó la posibilidad de que el tren elevado de la ciudad de México pasará por Polanco (barrio de clase media alta) la reacción de los vecinos fue muy hostil. En cambio, en los barrios populares que sí dependen del transporte público la propuesta fue aceptada.</w:t>
      </w:r>
    </w:p>
    <w:p w:rsidR="007E2AA1" w:rsidRDefault="007E2AA1" w:rsidP="007E2AA1">
      <w:pPr>
        <w:spacing w:after="0" w:line="360" w:lineRule="auto"/>
        <w:jc w:val="both"/>
        <w:rPr>
          <w:rFonts w:ascii="Arial" w:hAnsi="Arial" w:cs="Arial"/>
        </w:rPr>
      </w:pPr>
      <w:r>
        <w:rPr>
          <w:rFonts w:ascii="Arial" w:hAnsi="Arial" w:cs="Arial"/>
          <w:i/>
        </w:rPr>
        <w:t>Ubicación de los centros de decisión no institucionales.</w:t>
      </w:r>
      <w:r>
        <w:rPr>
          <w:rFonts w:ascii="Arial" w:hAnsi="Arial" w:cs="Arial"/>
        </w:rPr>
        <w:t xml:space="preserve"> Es frecuente, aunque no sistemático, que en las organizaciones humanas el liderazgo formal e institucional</w:t>
      </w:r>
      <w:r w:rsidR="00C2030A">
        <w:rPr>
          <w:rFonts w:ascii="Arial" w:hAnsi="Arial" w:cs="Arial"/>
        </w:rPr>
        <w:t xml:space="preserve"> no coincida con el liderazgo real. Hay que ser muy cautos cuando se trata con grupos sociales, para ubicar los centros de gravedad política. Muchas veces, la decisión adoptada puede ser más eficaz o instrumentarse con mayor facilidad si se encuentra “la fibra sensible” de la organización y se puede negociar o parlamentar con ella. Gran cantidad de políticas fracasan por no haber ubicado a los liderazgos no formales o por no tener el apoyo o la anuencia de los líderes morales.</w:t>
      </w:r>
    </w:p>
    <w:p w:rsidR="00C2030A" w:rsidRDefault="00C2030A" w:rsidP="007E2AA1">
      <w:pPr>
        <w:spacing w:after="0" w:line="360" w:lineRule="auto"/>
        <w:jc w:val="both"/>
        <w:rPr>
          <w:rFonts w:ascii="Arial" w:hAnsi="Arial" w:cs="Arial"/>
        </w:rPr>
      </w:pPr>
      <w:r>
        <w:rPr>
          <w:rFonts w:ascii="Arial" w:hAnsi="Arial" w:cs="Arial"/>
          <w:i/>
        </w:rPr>
        <w:lastRenderedPageBreak/>
        <w:t xml:space="preserve">Evaluación de los medios, los costos y la aceptación social de la alternativa. </w:t>
      </w:r>
      <w:r>
        <w:rPr>
          <w:rFonts w:ascii="Arial" w:hAnsi="Arial" w:cs="Arial"/>
        </w:rPr>
        <w:t>La base fundamental de la estrategia es preguntarse: ¿de qué soy capaz? En esta fase</w:t>
      </w:r>
      <w:r w:rsidR="00336506">
        <w:rPr>
          <w:rFonts w:ascii="Arial" w:hAnsi="Arial" w:cs="Arial"/>
        </w:rPr>
        <w:t xml:space="preserve"> es preciso</w:t>
      </w:r>
      <w:r w:rsidR="00A9712B">
        <w:rPr>
          <w:rFonts w:ascii="Arial" w:hAnsi="Arial" w:cs="Arial"/>
        </w:rPr>
        <w:t xml:space="preserve"> evaluar los recursos disponibles</w:t>
      </w:r>
      <w:r w:rsidR="00705959">
        <w:rPr>
          <w:rFonts w:ascii="Arial" w:hAnsi="Arial" w:cs="Arial"/>
        </w:rPr>
        <w:t>, especialmente para las acciones clave. Se deben analizar críticamente los puntos fuertes y los débiles del planteamiento, así como la fuerza política que los sostiene. Es preciso realizar un examen de conciencia y una auditoría de las capacidades de la organización para determinar hasta dónde se puede llegar. Por otra parte, se realizará una estimación de la receptividad del entorno a la propuesta. Esta estimación se hará mediante estudios de medición de la opinión (encuestas, entrevistas, método Delfos, foros de consulta, etc.).</w:t>
      </w:r>
    </w:p>
    <w:p w:rsidR="00705959" w:rsidRDefault="00705959" w:rsidP="007E2AA1">
      <w:pPr>
        <w:spacing w:after="0" w:line="360" w:lineRule="auto"/>
        <w:jc w:val="both"/>
        <w:rPr>
          <w:rFonts w:ascii="Arial" w:hAnsi="Arial" w:cs="Arial"/>
        </w:rPr>
      </w:pPr>
      <w:r>
        <w:rPr>
          <w:rFonts w:ascii="Arial" w:hAnsi="Arial" w:cs="Arial"/>
          <w:i/>
        </w:rPr>
        <w:t>Evaluación, en forma cruzada, de la importancia del problema con la capacidad de solución del mismo.</w:t>
      </w:r>
      <w:r>
        <w:rPr>
          <w:rFonts w:ascii="Arial" w:hAnsi="Arial" w:cs="Arial"/>
        </w:rPr>
        <w:t xml:space="preserve"> </w:t>
      </w:r>
      <w:r w:rsidR="00BD0950">
        <w:rPr>
          <w:rFonts w:ascii="Arial" w:hAnsi="Arial" w:cs="Arial"/>
        </w:rPr>
        <w:t xml:space="preserve">Este análisis es fundamental para quien toma decisiones políticas y le toque enfrentar, en poco tiempo, una elección. </w:t>
      </w:r>
      <w:r w:rsidR="0016785D">
        <w:rPr>
          <w:rFonts w:ascii="Arial" w:hAnsi="Arial" w:cs="Arial"/>
        </w:rPr>
        <w:t>En el siguiente diagrama, las opciones que se sitúan en la parte izquierda de la gráfica deben, en principio, no ser consideradas como el principal parámetro de evaluación de la política, porque es altamente probable que no se consigan. Las opciones situadas en los cuadrantes de la derecha, especialmente la del cuadrante superior, son las que un político o un gobierno tienden a buscar.</w:t>
      </w:r>
    </w:p>
    <w:p w:rsidR="00EE4A9D" w:rsidRDefault="00EE4A9D" w:rsidP="000A6590">
      <w:pPr>
        <w:spacing w:after="0" w:line="360" w:lineRule="auto"/>
        <w:jc w:val="center"/>
        <w:rPr>
          <w:rFonts w:ascii="Arial" w:hAnsi="Arial" w:cs="Arial"/>
        </w:rPr>
      </w:pPr>
      <w:r>
        <w:rPr>
          <w:rFonts w:ascii="Arial" w:hAnsi="Arial" w:cs="Arial"/>
        </w:rPr>
        <w:t>Análisis cruzado de la relevancia del problema con la capacidad de solución.</w:t>
      </w:r>
    </w:p>
    <w:tbl>
      <w:tblPr>
        <w:tblStyle w:val="Tablaconcuadrcula"/>
        <w:tblW w:w="0" w:type="auto"/>
        <w:tblLook w:val="04A0" w:firstRow="1" w:lastRow="0" w:firstColumn="1" w:lastColumn="0" w:noHBand="0" w:noVBand="1"/>
      </w:tblPr>
      <w:tblGrid>
        <w:gridCol w:w="1795"/>
        <w:gridCol w:w="1795"/>
        <w:gridCol w:w="1796"/>
        <w:gridCol w:w="1796"/>
        <w:gridCol w:w="1796"/>
      </w:tblGrid>
      <w:tr w:rsidR="000A36BE" w:rsidTr="006C2F29">
        <w:tc>
          <w:tcPr>
            <w:tcW w:w="1795" w:type="dxa"/>
            <w:tcBorders>
              <w:top w:val="nil"/>
              <w:left w:val="nil"/>
              <w:bottom w:val="nil"/>
              <w:right w:val="single" w:sz="12" w:space="0" w:color="auto"/>
            </w:tcBorders>
          </w:tcPr>
          <w:p w:rsidR="000A36BE" w:rsidRDefault="000A36BE" w:rsidP="007E2AA1">
            <w:pPr>
              <w:spacing w:line="360" w:lineRule="auto"/>
              <w:jc w:val="both"/>
              <w:rPr>
                <w:rFonts w:ascii="Arial" w:hAnsi="Arial" w:cs="Arial"/>
              </w:rPr>
            </w:pPr>
            <w:r>
              <w:rPr>
                <w:rFonts w:ascii="Arial" w:hAnsi="Arial" w:cs="Arial"/>
              </w:rPr>
              <w:t>Alta</w:t>
            </w:r>
          </w:p>
        </w:tc>
        <w:tc>
          <w:tcPr>
            <w:tcW w:w="3591" w:type="dxa"/>
            <w:gridSpan w:val="2"/>
            <w:tcBorders>
              <w:top w:val="single" w:sz="12" w:space="0" w:color="auto"/>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Problemas complejos de difícil solución.</w:t>
            </w:r>
          </w:p>
        </w:tc>
        <w:tc>
          <w:tcPr>
            <w:tcW w:w="3592" w:type="dxa"/>
            <w:gridSpan w:val="2"/>
            <w:tcBorders>
              <w:top w:val="single" w:sz="12" w:space="0" w:color="auto"/>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Problemas complejos con solución.</w:t>
            </w:r>
          </w:p>
        </w:tc>
      </w:tr>
      <w:tr w:rsidR="000A36BE" w:rsidTr="006C2F29">
        <w:tc>
          <w:tcPr>
            <w:tcW w:w="1795" w:type="dxa"/>
            <w:vMerge w:val="restart"/>
            <w:tcBorders>
              <w:top w:val="nil"/>
              <w:left w:val="nil"/>
              <w:bottom w:val="nil"/>
              <w:right w:val="single" w:sz="12" w:space="0" w:color="auto"/>
            </w:tcBorders>
            <w:vAlign w:val="center"/>
          </w:tcPr>
          <w:p w:rsidR="000A36BE" w:rsidRDefault="000A36BE" w:rsidP="000A36BE">
            <w:pPr>
              <w:spacing w:line="360" w:lineRule="auto"/>
              <w:jc w:val="center"/>
              <w:rPr>
                <w:rFonts w:ascii="Arial" w:hAnsi="Arial" w:cs="Arial"/>
              </w:rPr>
            </w:pPr>
            <w:r>
              <w:rPr>
                <w:rFonts w:ascii="Arial" w:hAnsi="Arial" w:cs="Arial"/>
              </w:rPr>
              <w:t>Relevancia de los problemas.</w:t>
            </w:r>
          </w:p>
        </w:tc>
        <w:tc>
          <w:tcPr>
            <w:tcW w:w="3591" w:type="dxa"/>
            <w:gridSpan w:val="2"/>
            <w:tcBorders>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No asignar recursos.</w:t>
            </w:r>
          </w:p>
        </w:tc>
        <w:tc>
          <w:tcPr>
            <w:tcW w:w="3592" w:type="dxa"/>
            <w:gridSpan w:val="2"/>
            <w:tcBorders>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Volcar recursos.</w:t>
            </w:r>
          </w:p>
        </w:tc>
      </w:tr>
      <w:tr w:rsidR="000A36BE" w:rsidTr="006C2F29">
        <w:tc>
          <w:tcPr>
            <w:tcW w:w="1795" w:type="dxa"/>
            <w:vMerge/>
            <w:tcBorders>
              <w:top w:val="nil"/>
              <w:left w:val="nil"/>
              <w:bottom w:val="nil"/>
              <w:right w:val="single" w:sz="12" w:space="0" w:color="auto"/>
            </w:tcBorders>
          </w:tcPr>
          <w:p w:rsidR="000A36BE" w:rsidRDefault="000A36BE" w:rsidP="007E2AA1">
            <w:pPr>
              <w:spacing w:line="360" w:lineRule="auto"/>
              <w:jc w:val="both"/>
              <w:rPr>
                <w:rFonts w:ascii="Arial" w:hAnsi="Arial" w:cs="Arial"/>
              </w:rPr>
            </w:pPr>
          </w:p>
        </w:tc>
        <w:tc>
          <w:tcPr>
            <w:tcW w:w="3591" w:type="dxa"/>
            <w:gridSpan w:val="2"/>
            <w:tcBorders>
              <w:left w:val="single" w:sz="12" w:space="0" w:color="auto"/>
              <w:bottom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Desgastes</w:t>
            </w:r>
          </w:p>
        </w:tc>
        <w:tc>
          <w:tcPr>
            <w:tcW w:w="3592" w:type="dxa"/>
            <w:gridSpan w:val="2"/>
            <w:tcBorders>
              <w:left w:val="single" w:sz="12" w:space="0" w:color="auto"/>
              <w:bottom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Alto Impacto</w:t>
            </w:r>
          </w:p>
        </w:tc>
      </w:tr>
      <w:tr w:rsidR="000A36BE" w:rsidTr="006C2F29">
        <w:tc>
          <w:tcPr>
            <w:tcW w:w="1795" w:type="dxa"/>
            <w:vMerge/>
            <w:tcBorders>
              <w:top w:val="nil"/>
              <w:left w:val="nil"/>
              <w:bottom w:val="nil"/>
              <w:right w:val="single" w:sz="12" w:space="0" w:color="auto"/>
            </w:tcBorders>
          </w:tcPr>
          <w:p w:rsidR="000A36BE" w:rsidRDefault="000A36BE" w:rsidP="007E2AA1">
            <w:pPr>
              <w:spacing w:line="360" w:lineRule="auto"/>
              <w:jc w:val="both"/>
              <w:rPr>
                <w:rFonts w:ascii="Arial" w:hAnsi="Arial" w:cs="Arial"/>
              </w:rPr>
            </w:pPr>
          </w:p>
        </w:tc>
        <w:tc>
          <w:tcPr>
            <w:tcW w:w="3591" w:type="dxa"/>
            <w:gridSpan w:val="2"/>
            <w:tcBorders>
              <w:top w:val="single" w:sz="12" w:space="0" w:color="auto"/>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Problemas insignificantes.</w:t>
            </w:r>
          </w:p>
        </w:tc>
        <w:tc>
          <w:tcPr>
            <w:tcW w:w="3592" w:type="dxa"/>
            <w:gridSpan w:val="2"/>
            <w:tcBorders>
              <w:top w:val="single" w:sz="12" w:space="0" w:color="auto"/>
              <w:left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Problemas de bajo nivel con solución simple.</w:t>
            </w:r>
          </w:p>
        </w:tc>
      </w:tr>
      <w:tr w:rsidR="000A36BE" w:rsidTr="006C2F29">
        <w:tc>
          <w:tcPr>
            <w:tcW w:w="1795" w:type="dxa"/>
            <w:tcBorders>
              <w:top w:val="nil"/>
              <w:left w:val="nil"/>
              <w:bottom w:val="nil"/>
              <w:right w:val="single" w:sz="12" w:space="0" w:color="auto"/>
            </w:tcBorders>
          </w:tcPr>
          <w:p w:rsidR="000A36BE" w:rsidRDefault="000A36BE" w:rsidP="007E2AA1">
            <w:pPr>
              <w:spacing w:line="360" w:lineRule="auto"/>
              <w:jc w:val="both"/>
              <w:rPr>
                <w:rFonts w:ascii="Arial" w:hAnsi="Arial" w:cs="Arial"/>
              </w:rPr>
            </w:pPr>
            <w:r>
              <w:rPr>
                <w:rFonts w:ascii="Arial" w:hAnsi="Arial" w:cs="Arial"/>
              </w:rPr>
              <w:t>Escasa</w:t>
            </w:r>
          </w:p>
        </w:tc>
        <w:tc>
          <w:tcPr>
            <w:tcW w:w="3591" w:type="dxa"/>
            <w:gridSpan w:val="2"/>
            <w:tcBorders>
              <w:left w:val="single" w:sz="12" w:space="0" w:color="auto"/>
              <w:bottom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Irrelevancia.</w:t>
            </w:r>
          </w:p>
        </w:tc>
        <w:tc>
          <w:tcPr>
            <w:tcW w:w="3592" w:type="dxa"/>
            <w:gridSpan w:val="2"/>
            <w:tcBorders>
              <w:left w:val="single" w:sz="12" w:space="0" w:color="auto"/>
              <w:bottom w:val="single" w:sz="12" w:space="0" w:color="auto"/>
              <w:right w:val="single" w:sz="12" w:space="0" w:color="auto"/>
            </w:tcBorders>
          </w:tcPr>
          <w:p w:rsidR="000A36BE" w:rsidRDefault="000A36BE" w:rsidP="007E2AA1">
            <w:pPr>
              <w:spacing w:line="360" w:lineRule="auto"/>
              <w:jc w:val="both"/>
              <w:rPr>
                <w:rFonts w:ascii="Arial" w:hAnsi="Arial" w:cs="Arial"/>
              </w:rPr>
            </w:pPr>
            <w:r>
              <w:rPr>
                <w:rFonts w:ascii="Arial" w:hAnsi="Arial" w:cs="Arial"/>
              </w:rPr>
              <w:t>Cotizaciones.</w:t>
            </w:r>
          </w:p>
        </w:tc>
      </w:tr>
      <w:tr w:rsidR="00EE4A9D" w:rsidTr="006C2F29">
        <w:tc>
          <w:tcPr>
            <w:tcW w:w="1795" w:type="dxa"/>
            <w:tcBorders>
              <w:top w:val="nil"/>
              <w:left w:val="nil"/>
              <w:bottom w:val="nil"/>
              <w:right w:val="nil"/>
            </w:tcBorders>
          </w:tcPr>
          <w:p w:rsidR="00EE4A9D" w:rsidRDefault="00EE4A9D" w:rsidP="007E2AA1">
            <w:pPr>
              <w:spacing w:line="360" w:lineRule="auto"/>
              <w:jc w:val="both"/>
              <w:rPr>
                <w:rFonts w:ascii="Arial" w:hAnsi="Arial" w:cs="Arial"/>
              </w:rPr>
            </w:pPr>
          </w:p>
        </w:tc>
        <w:tc>
          <w:tcPr>
            <w:tcW w:w="1795" w:type="dxa"/>
            <w:tcBorders>
              <w:top w:val="single" w:sz="12" w:space="0" w:color="auto"/>
              <w:left w:val="nil"/>
              <w:bottom w:val="nil"/>
              <w:right w:val="nil"/>
            </w:tcBorders>
          </w:tcPr>
          <w:p w:rsidR="00EE4A9D" w:rsidRDefault="00EE4A9D" w:rsidP="007E2AA1">
            <w:pPr>
              <w:spacing w:line="360" w:lineRule="auto"/>
              <w:jc w:val="both"/>
              <w:rPr>
                <w:rFonts w:ascii="Arial" w:hAnsi="Arial" w:cs="Arial"/>
              </w:rPr>
            </w:pPr>
            <w:r>
              <w:rPr>
                <w:rFonts w:ascii="Arial" w:hAnsi="Arial" w:cs="Arial"/>
              </w:rPr>
              <w:t>Baja</w:t>
            </w:r>
          </w:p>
        </w:tc>
        <w:tc>
          <w:tcPr>
            <w:tcW w:w="3592" w:type="dxa"/>
            <w:gridSpan w:val="2"/>
            <w:tcBorders>
              <w:top w:val="single" w:sz="12" w:space="0" w:color="auto"/>
              <w:left w:val="nil"/>
              <w:bottom w:val="nil"/>
              <w:right w:val="nil"/>
            </w:tcBorders>
          </w:tcPr>
          <w:p w:rsidR="00EE4A9D" w:rsidRDefault="00EE4A9D" w:rsidP="00EE4A9D">
            <w:pPr>
              <w:spacing w:line="360" w:lineRule="auto"/>
              <w:jc w:val="center"/>
              <w:rPr>
                <w:rFonts w:ascii="Arial" w:hAnsi="Arial" w:cs="Arial"/>
              </w:rPr>
            </w:pPr>
            <w:r>
              <w:rPr>
                <w:rFonts w:ascii="Arial" w:hAnsi="Arial" w:cs="Arial"/>
              </w:rPr>
              <w:t>Capacidad de solución.</w:t>
            </w:r>
          </w:p>
        </w:tc>
        <w:tc>
          <w:tcPr>
            <w:tcW w:w="1796" w:type="dxa"/>
            <w:tcBorders>
              <w:top w:val="single" w:sz="12" w:space="0" w:color="auto"/>
              <w:left w:val="nil"/>
              <w:bottom w:val="nil"/>
              <w:right w:val="nil"/>
            </w:tcBorders>
          </w:tcPr>
          <w:p w:rsidR="00EE4A9D" w:rsidRDefault="00EE4A9D" w:rsidP="007E2AA1">
            <w:pPr>
              <w:spacing w:line="360" w:lineRule="auto"/>
              <w:jc w:val="both"/>
              <w:rPr>
                <w:rFonts w:ascii="Arial" w:hAnsi="Arial" w:cs="Arial"/>
              </w:rPr>
            </w:pPr>
            <w:r>
              <w:rPr>
                <w:rFonts w:ascii="Arial" w:hAnsi="Arial" w:cs="Arial"/>
              </w:rPr>
              <w:t>Alta</w:t>
            </w:r>
          </w:p>
        </w:tc>
      </w:tr>
    </w:tbl>
    <w:p w:rsidR="00EE4A9D" w:rsidRDefault="000A6590" w:rsidP="007E2AA1">
      <w:pPr>
        <w:spacing w:after="0" w:line="360" w:lineRule="auto"/>
        <w:jc w:val="both"/>
        <w:rPr>
          <w:rFonts w:ascii="Arial" w:hAnsi="Arial" w:cs="Arial"/>
        </w:rPr>
      </w:pPr>
      <w:r>
        <w:rPr>
          <w:rFonts w:ascii="Arial" w:hAnsi="Arial" w:cs="Arial"/>
        </w:rPr>
        <w:t>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(si los resultados son positivos) la política y generar así más consenso en torno a la misma.</w:t>
      </w:r>
    </w:p>
    <w:p w:rsidR="00CC46A1" w:rsidRDefault="00CC46A1" w:rsidP="007E2AA1">
      <w:pPr>
        <w:spacing w:after="0" w:line="360" w:lineRule="auto"/>
        <w:jc w:val="both"/>
        <w:rPr>
          <w:rFonts w:ascii="Arial" w:hAnsi="Arial" w:cs="Arial"/>
        </w:rPr>
      </w:pPr>
      <w:r>
        <w:rPr>
          <w:rFonts w:ascii="Arial" w:hAnsi="Arial" w:cs="Arial"/>
          <w:i/>
        </w:rPr>
        <w:t xml:space="preserve">Ponderación de las ventajas de cada opción. </w:t>
      </w:r>
      <w:r>
        <w:rPr>
          <w:rFonts w:ascii="Arial" w:hAnsi="Arial" w:cs="Arial"/>
        </w:rPr>
        <w:t>Para ponderar las ventajas de cada opción se puede recurrir a un análisis empírico o intuitivo, pero también se pueden clasificar en función de ciertos métodos como el ELECTRA.</w:t>
      </w:r>
    </w:p>
    <w:p w:rsidR="00FE749E" w:rsidRDefault="00FE749E" w:rsidP="007E2AA1">
      <w:pPr>
        <w:spacing w:after="0" w:line="360" w:lineRule="auto"/>
        <w:jc w:val="both"/>
        <w:rPr>
          <w:rFonts w:ascii="Arial" w:hAnsi="Arial" w:cs="Arial"/>
        </w:rPr>
      </w:pPr>
      <w:r>
        <w:rPr>
          <w:rFonts w:ascii="Arial" w:hAnsi="Arial" w:cs="Arial"/>
          <w:i/>
        </w:rPr>
        <w:lastRenderedPageBreak/>
        <w:t>Ubicación de la naturaleza del problema en la línea temporal.</w:t>
      </w:r>
      <w:r>
        <w:rPr>
          <w:rFonts w:ascii="Arial" w:hAnsi="Arial" w:cs="Arial"/>
        </w:rPr>
        <w:t xml:space="preserve"> Uno de los elementos más importantes de la decisión es el diagnóstico correcto. Aunque se disponga de información suficiente, la incorrecta valoración de la misma puede conducir a un círculo vicioso entre decisión e insatisfacción por los resultados. La valoración lineal de los elementos implicados en una situación puede ser la fuente del problema. Frecuentemente nos encontramos ante tres líneas de temporalidad, Estructural, </w:t>
      </w:r>
      <w:proofErr w:type="spellStart"/>
      <w:r>
        <w:rPr>
          <w:rFonts w:ascii="Arial" w:hAnsi="Arial" w:cs="Arial"/>
        </w:rPr>
        <w:t>Semiestructural</w:t>
      </w:r>
      <w:proofErr w:type="spellEnd"/>
      <w:r>
        <w:rPr>
          <w:rFonts w:ascii="Arial" w:hAnsi="Arial" w:cs="Arial"/>
        </w:rPr>
        <w:t xml:space="preserve"> y Coyuntural.</w:t>
      </w:r>
    </w:p>
    <w:p w:rsidR="00F3274C" w:rsidRDefault="00F3274C" w:rsidP="007E2AA1">
      <w:pPr>
        <w:spacing w:after="0" w:line="360" w:lineRule="auto"/>
        <w:jc w:val="both"/>
        <w:rPr>
          <w:rFonts w:ascii="Arial" w:hAnsi="Arial" w:cs="Arial"/>
        </w:rPr>
      </w:pPr>
      <w:r>
        <w:rPr>
          <w:rFonts w:ascii="Arial" w:hAnsi="Arial" w:cs="Arial"/>
        </w:rPr>
        <w:t>Supongamos que se ha diseñado una política de control natal que incluye las siguientes estrategias:</w:t>
      </w:r>
    </w:p>
    <w:p w:rsidR="00F3274C" w:rsidRDefault="00F3274C" w:rsidP="007E2AA1">
      <w:pPr>
        <w:spacing w:after="0" w:line="360" w:lineRule="auto"/>
        <w:jc w:val="both"/>
        <w:rPr>
          <w:rFonts w:ascii="Arial" w:hAnsi="Arial" w:cs="Arial"/>
        </w:rPr>
      </w:pPr>
      <w:r>
        <w:rPr>
          <w:rFonts w:ascii="Arial" w:hAnsi="Arial" w:cs="Arial"/>
        </w:rPr>
        <w:t>Difundir el uso de métodos contraceptivos entre el conjunto de la población.</w:t>
      </w:r>
    </w:p>
    <w:p w:rsidR="00F3274C" w:rsidRDefault="00F3274C" w:rsidP="007E2AA1">
      <w:pPr>
        <w:spacing w:after="0" w:line="360" w:lineRule="auto"/>
        <w:jc w:val="both"/>
        <w:rPr>
          <w:rFonts w:ascii="Arial" w:hAnsi="Arial" w:cs="Arial"/>
        </w:rPr>
      </w:pPr>
      <w:r>
        <w:rPr>
          <w:rFonts w:ascii="Arial" w:hAnsi="Arial" w:cs="Arial"/>
        </w:rPr>
        <w:t>Legalizar el aborto.</w:t>
      </w:r>
    </w:p>
    <w:p w:rsidR="00F3274C" w:rsidRDefault="00F3274C" w:rsidP="007E2AA1">
      <w:pPr>
        <w:spacing w:after="0" w:line="360" w:lineRule="auto"/>
        <w:jc w:val="both"/>
        <w:rPr>
          <w:rFonts w:ascii="Arial" w:hAnsi="Arial" w:cs="Arial"/>
        </w:rPr>
      </w:pPr>
      <w:r>
        <w:rPr>
          <w:rFonts w:ascii="Arial" w:hAnsi="Arial" w:cs="Arial"/>
        </w:rPr>
        <w:t>Elevar los niveles educativos.</w:t>
      </w:r>
    </w:p>
    <w:p w:rsidR="00F3274C" w:rsidRDefault="00F3274C" w:rsidP="007E2AA1">
      <w:pPr>
        <w:spacing w:after="0" w:line="360" w:lineRule="auto"/>
        <w:jc w:val="both"/>
        <w:rPr>
          <w:rFonts w:ascii="Arial" w:hAnsi="Arial" w:cs="Arial"/>
        </w:rPr>
      </w:pPr>
      <w:r>
        <w:rPr>
          <w:rFonts w:ascii="Arial" w:hAnsi="Arial" w:cs="Arial"/>
        </w:rPr>
        <w:t>Ampliar el número de opciones laborales para la población  femenina en edad de trabajar.</w:t>
      </w:r>
    </w:p>
    <w:p w:rsidR="00F3274C" w:rsidRDefault="00F3274C" w:rsidP="007E2AA1">
      <w:pPr>
        <w:spacing w:after="0" w:line="360" w:lineRule="auto"/>
        <w:jc w:val="both"/>
        <w:rPr>
          <w:rFonts w:ascii="Arial" w:hAnsi="Arial" w:cs="Arial"/>
        </w:rPr>
      </w:pPr>
      <w:r>
        <w:rPr>
          <w:rFonts w:ascii="Arial" w:hAnsi="Arial" w:cs="Arial"/>
        </w:rPr>
        <w:t>Los problemas que enfrentará el artífice de esta política serán:</w:t>
      </w:r>
    </w:p>
    <w:p w:rsidR="00F3274C" w:rsidRDefault="00F3274C" w:rsidP="007E2AA1">
      <w:pPr>
        <w:spacing w:after="0" w:line="360" w:lineRule="auto"/>
        <w:jc w:val="both"/>
        <w:rPr>
          <w:rFonts w:ascii="Arial" w:hAnsi="Arial" w:cs="Arial"/>
        </w:rPr>
      </w:pPr>
      <w:r>
        <w:rPr>
          <w:rFonts w:ascii="Arial" w:hAnsi="Arial" w:cs="Arial"/>
          <w:i/>
        </w:rPr>
        <w:t>Estructural:</w:t>
      </w:r>
      <w:r>
        <w:rPr>
          <w:rFonts w:ascii="Arial" w:hAnsi="Arial" w:cs="Arial"/>
        </w:rPr>
        <w:t xml:space="preserve"> Las creencias religiosas de la gente.</w:t>
      </w:r>
    </w:p>
    <w:p w:rsidR="00F3274C" w:rsidRDefault="00F3274C" w:rsidP="007E2AA1">
      <w:pPr>
        <w:spacing w:after="0" w:line="360" w:lineRule="auto"/>
        <w:jc w:val="both"/>
        <w:rPr>
          <w:rFonts w:ascii="Arial" w:hAnsi="Arial" w:cs="Arial"/>
        </w:rPr>
      </w:pPr>
      <w:proofErr w:type="spellStart"/>
      <w:r>
        <w:rPr>
          <w:rFonts w:ascii="Arial" w:hAnsi="Arial" w:cs="Arial"/>
          <w:i/>
        </w:rPr>
        <w:t>Semiestructural</w:t>
      </w:r>
      <w:proofErr w:type="spellEnd"/>
      <w:r>
        <w:rPr>
          <w:rFonts w:ascii="Arial" w:hAnsi="Arial" w:cs="Arial"/>
          <w:i/>
        </w:rPr>
        <w:t>:</w:t>
      </w:r>
      <w:r>
        <w:rPr>
          <w:rFonts w:ascii="Arial" w:hAnsi="Arial" w:cs="Arial"/>
        </w:rPr>
        <w:t xml:space="preserve"> La oposición de un partido político. </w:t>
      </w:r>
    </w:p>
    <w:p w:rsidR="00192204" w:rsidRPr="00192204" w:rsidRDefault="00192204" w:rsidP="007E2AA1">
      <w:pPr>
        <w:spacing w:after="0" w:line="360" w:lineRule="auto"/>
        <w:jc w:val="both"/>
        <w:rPr>
          <w:rFonts w:ascii="Arial" w:hAnsi="Arial" w:cs="Arial"/>
        </w:rPr>
      </w:pPr>
      <w:r>
        <w:rPr>
          <w:rFonts w:ascii="Arial" w:hAnsi="Arial" w:cs="Arial"/>
          <w:i/>
        </w:rPr>
        <w:t xml:space="preserve">Coyuntural: </w:t>
      </w:r>
      <w:r>
        <w:rPr>
          <w:rFonts w:ascii="Arial" w:hAnsi="Arial" w:cs="Arial"/>
        </w:rPr>
        <w:t>Conseguir una mayoría parlamentaria que apruebe la legislación.</w:t>
      </w:r>
    </w:p>
    <w:p w:rsidR="00EE4A9D" w:rsidRDefault="00EE4A9D" w:rsidP="007E2AA1">
      <w:pPr>
        <w:spacing w:after="0" w:line="360" w:lineRule="auto"/>
        <w:jc w:val="both"/>
        <w:rPr>
          <w:rFonts w:ascii="Arial" w:hAnsi="Arial" w:cs="Arial"/>
        </w:rPr>
      </w:pPr>
    </w:p>
    <w:p w:rsidR="00C04290" w:rsidRDefault="003E4AB7" w:rsidP="007E2AA1">
      <w:pPr>
        <w:spacing w:after="0" w:line="360" w:lineRule="auto"/>
        <w:jc w:val="both"/>
        <w:rPr>
          <w:rFonts w:ascii="Arial" w:hAnsi="Arial" w:cs="Arial"/>
        </w:rPr>
      </w:pPr>
      <w:r>
        <w:rPr>
          <w:rFonts w:ascii="Arial" w:hAnsi="Arial" w:cs="Arial"/>
          <w:i/>
        </w:rPr>
        <w:t>Aproximación al futuro con la herramienta adecuada.</w:t>
      </w:r>
      <w:r>
        <w:rPr>
          <w:rFonts w:ascii="Arial" w:hAnsi="Arial" w:cs="Arial"/>
        </w:rPr>
        <w:t xml:space="preserve"> Los estudios de futuro han tenido un auge importante en los últimos años.</w:t>
      </w:r>
      <w:r w:rsidR="00230883">
        <w:rPr>
          <w:rFonts w:ascii="Arial" w:hAnsi="Arial" w:cs="Arial"/>
        </w:rPr>
        <w:t xml:space="preserve"> Sin embargo, no es éste espacio para tratar los métodos de aproximación al futuro, por lo que nos limitaremos a plantear los más comunes.</w:t>
      </w:r>
    </w:p>
    <w:p w:rsidR="003E4AB7" w:rsidRPr="00C04290" w:rsidRDefault="00C04290" w:rsidP="007E2AA1">
      <w:pPr>
        <w:spacing w:after="0" w:line="360" w:lineRule="auto"/>
        <w:jc w:val="both"/>
        <w:rPr>
          <w:rFonts w:ascii="Arial" w:hAnsi="Arial" w:cs="Arial"/>
          <w:i/>
        </w:rPr>
      </w:pPr>
      <w:r w:rsidRPr="00C04290">
        <w:rPr>
          <w:rFonts w:ascii="Arial" w:hAnsi="Arial" w:cs="Arial"/>
          <w:i/>
        </w:rPr>
        <w:t>Entre los métodos cuantitativos destacan:</w:t>
      </w:r>
    </w:p>
    <w:p w:rsidR="00230883" w:rsidRDefault="00230883" w:rsidP="007E2AA1">
      <w:pPr>
        <w:spacing w:after="0" w:line="360" w:lineRule="auto"/>
        <w:jc w:val="both"/>
        <w:rPr>
          <w:rFonts w:ascii="Arial" w:hAnsi="Arial" w:cs="Arial"/>
        </w:rPr>
      </w:pPr>
      <w:r>
        <w:rPr>
          <w:rFonts w:ascii="Arial" w:hAnsi="Arial" w:cs="Arial"/>
        </w:rPr>
        <w:t>Matriz de impactos cruzados.</w:t>
      </w:r>
    </w:p>
    <w:p w:rsidR="00230883" w:rsidRPr="003E4AB7" w:rsidRDefault="00230883" w:rsidP="007E2AA1">
      <w:pPr>
        <w:spacing w:after="0" w:line="360" w:lineRule="auto"/>
        <w:jc w:val="both"/>
        <w:rPr>
          <w:rFonts w:ascii="Arial" w:hAnsi="Arial" w:cs="Arial"/>
        </w:rPr>
      </w:pPr>
      <w:r>
        <w:rPr>
          <w:rFonts w:ascii="Arial" w:hAnsi="Arial" w:cs="Arial"/>
        </w:rPr>
        <w:t>Insumo-producto.</w:t>
      </w:r>
    </w:p>
    <w:p w:rsidR="00EE4A9D" w:rsidRDefault="00C44AA5" w:rsidP="007E2AA1">
      <w:pPr>
        <w:spacing w:after="0" w:line="360" w:lineRule="auto"/>
        <w:jc w:val="both"/>
        <w:rPr>
          <w:rFonts w:ascii="Arial" w:hAnsi="Arial" w:cs="Arial"/>
        </w:rPr>
      </w:pPr>
      <w:r>
        <w:rPr>
          <w:rFonts w:ascii="Arial" w:hAnsi="Arial" w:cs="Arial"/>
        </w:rPr>
        <w:t>Modelos de simulación.</w:t>
      </w:r>
    </w:p>
    <w:p w:rsidR="00C44AA5" w:rsidRDefault="00C44AA5" w:rsidP="007E2AA1">
      <w:pPr>
        <w:spacing w:after="0" w:line="360" w:lineRule="auto"/>
        <w:jc w:val="both"/>
        <w:rPr>
          <w:rFonts w:ascii="Arial" w:hAnsi="Arial" w:cs="Arial"/>
        </w:rPr>
      </w:pPr>
      <w:r>
        <w:rPr>
          <w:rFonts w:ascii="Arial" w:hAnsi="Arial" w:cs="Arial"/>
        </w:rPr>
        <w:t>Modelos estadísticos (regresiones, proyecciones y extrapolaciones).</w:t>
      </w:r>
    </w:p>
    <w:p w:rsidR="00C44AA5" w:rsidRDefault="00C44AA5" w:rsidP="007E2AA1">
      <w:pPr>
        <w:spacing w:after="0" w:line="360" w:lineRule="auto"/>
        <w:jc w:val="both"/>
        <w:rPr>
          <w:rFonts w:ascii="Arial" w:hAnsi="Arial" w:cs="Arial"/>
        </w:rPr>
      </w:pPr>
      <w:r>
        <w:rPr>
          <w:rFonts w:ascii="Arial" w:hAnsi="Arial" w:cs="Arial"/>
        </w:rPr>
        <w:t>Modelos de competencia.</w:t>
      </w:r>
    </w:p>
    <w:p w:rsidR="00C44AA5" w:rsidRDefault="00C44AA5" w:rsidP="007E2AA1">
      <w:pPr>
        <w:spacing w:after="0" w:line="360" w:lineRule="auto"/>
        <w:jc w:val="both"/>
        <w:rPr>
          <w:rFonts w:ascii="Arial" w:hAnsi="Arial" w:cs="Arial"/>
        </w:rPr>
      </w:pPr>
      <w:r>
        <w:rPr>
          <w:rFonts w:ascii="Arial" w:hAnsi="Arial" w:cs="Arial"/>
        </w:rPr>
        <w:t>Modelos logísticos.</w:t>
      </w:r>
    </w:p>
    <w:p w:rsidR="00C44AA5" w:rsidRPr="00C04290" w:rsidRDefault="00C44AA5" w:rsidP="007E2AA1">
      <w:pPr>
        <w:spacing w:after="0" w:line="360" w:lineRule="auto"/>
        <w:jc w:val="both"/>
        <w:rPr>
          <w:rFonts w:ascii="Arial" w:hAnsi="Arial" w:cs="Arial"/>
          <w:i/>
        </w:rPr>
      </w:pPr>
      <w:r w:rsidRPr="00C04290">
        <w:rPr>
          <w:rFonts w:ascii="Arial" w:hAnsi="Arial" w:cs="Arial"/>
          <w:i/>
        </w:rPr>
        <w:t>Entre los cua</w:t>
      </w:r>
      <w:r w:rsidR="00C04290" w:rsidRPr="00C04290">
        <w:rPr>
          <w:rFonts w:ascii="Arial" w:hAnsi="Arial" w:cs="Arial"/>
          <w:i/>
        </w:rPr>
        <w:t>l</w:t>
      </w:r>
      <w:r w:rsidRPr="00C04290">
        <w:rPr>
          <w:rFonts w:ascii="Arial" w:hAnsi="Arial" w:cs="Arial"/>
          <w:i/>
        </w:rPr>
        <w:t>itativos se encuentran.</w:t>
      </w:r>
    </w:p>
    <w:p w:rsidR="00C44AA5" w:rsidRDefault="00C44AA5" w:rsidP="007E2AA1">
      <w:pPr>
        <w:spacing w:after="0" w:line="360" w:lineRule="auto"/>
        <w:jc w:val="both"/>
        <w:rPr>
          <w:rFonts w:ascii="Arial" w:hAnsi="Arial" w:cs="Arial"/>
        </w:rPr>
      </w:pPr>
      <w:r>
        <w:rPr>
          <w:rFonts w:ascii="Arial" w:hAnsi="Arial" w:cs="Arial"/>
        </w:rPr>
        <w:t>Construcción de escenarios.</w:t>
      </w:r>
    </w:p>
    <w:p w:rsidR="00C44AA5" w:rsidRDefault="00C44AA5" w:rsidP="007E2AA1">
      <w:pPr>
        <w:spacing w:after="0" w:line="360" w:lineRule="auto"/>
        <w:jc w:val="both"/>
        <w:rPr>
          <w:rFonts w:ascii="Arial" w:hAnsi="Arial" w:cs="Arial"/>
        </w:rPr>
      </w:pPr>
      <w:r>
        <w:rPr>
          <w:rFonts w:ascii="Arial" w:hAnsi="Arial" w:cs="Arial"/>
        </w:rPr>
        <w:t>Prospectiva.</w:t>
      </w:r>
    </w:p>
    <w:p w:rsidR="00C44AA5" w:rsidRDefault="00C44AA5" w:rsidP="007E2AA1">
      <w:pPr>
        <w:spacing w:after="0" w:line="360" w:lineRule="auto"/>
        <w:jc w:val="both"/>
        <w:rPr>
          <w:rFonts w:ascii="Arial" w:hAnsi="Arial" w:cs="Arial"/>
        </w:rPr>
      </w:pPr>
      <w:r>
        <w:rPr>
          <w:rFonts w:ascii="Arial" w:hAnsi="Arial" w:cs="Arial"/>
        </w:rPr>
        <w:t>Predicciones.</w:t>
      </w:r>
    </w:p>
    <w:p w:rsidR="00C44AA5" w:rsidRDefault="00C44AA5" w:rsidP="007E2AA1">
      <w:pPr>
        <w:spacing w:after="0" w:line="360" w:lineRule="auto"/>
        <w:jc w:val="both"/>
        <w:rPr>
          <w:rFonts w:ascii="Arial" w:hAnsi="Arial" w:cs="Arial"/>
        </w:rPr>
      </w:pPr>
      <w:r>
        <w:rPr>
          <w:rFonts w:ascii="Arial" w:hAnsi="Arial" w:cs="Arial"/>
        </w:rPr>
        <w:t xml:space="preserve">Extrapolación histórica de tendencias. </w:t>
      </w:r>
    </w:p>
    <w:p w:rsidR="00C44AA5" w:rsidRDefault="00C44AA5" w:rsidP="007E2AA1">
      <w:pPr>
        <w:spacing w:after="0" w:line="360" w:lineRule="auto"/>
        <w:jc w:val="both"/>
        <w:rPr>
          <w:rFonts w:ascii="Arial" w:hAnsi="Arial" w:cs="Arial"/>
        </w:rPr>
      </w:pPr>
      <w:r>
        <w:rPr>
          <w:rFonts w:ascii="Arial" w:hAnsi="Arial" w:cs="Arial"/>
        </w:rPr>
        <w:t xml:space="preserve">Métodos de consulta a expertos 8Delfos, </w:t>
      </w:r>
      <w:proofErr w:type="spellStart"/>
      <w:r>
        <w:rPr>
          <w:rFonts w:ascii="Arial" w:hAnsi="Arial" w:cs="Arial"/>
        </w:rPr>
        <w:t>Ariole</w:t>
      </w:r>
      <w:proofErr w:type="spellEnd"/>
      <w:r>
        <w:rPr>
          <w:rFonts w:ascii="Arial" w:hAnsi="Arial" w:cs="Arial"/>
        </w:rPr>
        <w:t>, Análisis de fuerzas).</w:t>
      </w:r>
    </w:p>
    <w:p w:rsidR="00022E8D" w:rsidRDefault="00022E8D" w:rsidP="007E2AA1">
      <w:pPr>
        <w:spacing w:after="0" w:line="360" w:lineRule="auto"/>
        <w:jc w:val="both"/>
        <w:rPr>
          <w:rFonts w:ascii="Arial" w:hAnsi="Arial" w:cs="Arial"/>
        </w:rPr>
      </w:pPr>
      <w:r>
        <w:rPr>
          <w:rFonts w:ascii="Arial" w:hAnsi="Arial" w:cs="Arial"/>
        </w:rPr>
        <w:lastRenderedPageBreak/>
        <w:t>Bibliografía:</w:t>
      </w:r>
    </w:p>
    <w:p w:rsidR="00022E8D" w:rsidRDefault="004D6049" w:rsidP="007E2AA1">
      <w:pPr>
        <w:spacing w:after="0" w:line="360" w:lineRule="auto"/>
        <w:jc w:val="both"/>
        <w:rPr>
          <w:rFonts w:ascii="Arial" w:hAnsi="Arial" w:cs="Arial"/>
        </w:rPr>
      </w:pPr>
      <w:proofErr w:type="spellStart"/>
      <w:r>
        <w:rPr>
          <w:rFonts w:ascii="Arial" w:hAnsi="Arial" w:cs="Arial"/>
        </w:rPr>
        <w:t>Curzio</w:t>
      </w:r>
      <w:proofErr w:type="spellEnd"/>
      <w:r>
        <w:rPr>
          <w:rFonts w:ascii="Arial" w:hAnsi="Arial" w:cs="Arial"/>
        </w:rPr>
        <w:t xml:space="preserve"> </w:t>
      </w:r>
      <w:r>
        <w:rPr>
          <w:rFonts w:ascii="Arial" w:hAnsi="Arial" w:cs="Arial"/>
        </w:rPr>
        <w:t xml:space="preserve">Leonardo. </w:t>
      </w:r>
      <w:r w:rsidR="00216D7B">
        <w:rPr>
          <w:rFonts w:ascii="Arial" w:hAnsi="Arial" w:cs="Arial"/>
        </w:rPr>
        <w:t xml:space="preserve">Toma de decisiones. Capítulo 7. Métodos Lineales y </w:t>
      </w:r>
      <w:proofErr w:type="spellStart"/>
      <w:r w:rsidR="00216D7B">
        <w:rPr>
          <w:rFonts w:ascii="Arial" w:hAnsi="Arial" w:cs="Arial"/>
        </w:rPr>
        <w:t>Multicriterios</w:t>
      </w:r>
      <w:proofErr w:type="spellEnd"/>
      <w:r w:rsidR="00216D7B">
        <w:rPr>
          <w:rFonts w:ascii="Arial" w:hAnsi="Arial" w:cs="Arial"/>
        </w:rPr>
        <w:t xml:space="preserve"> Páginas 65-75.</w:t>
      </w:r>
      <w:bookmarkStart w:id="0" w:name="_GoBack"/>
      <w:bookmarkEnd w:id="0"/>
    </w:p>
    <w:p w:rsidR="00FB5495" w:rsidRDefault="00FB5495" w:rsidP="007E2AA1">
      <w:pPr>
        <w:spacing w:after="0" w:line="360" w:lineRule="auto"/>
        <w:jc w:val="both"/>
        <w:rPr>
          <w:rFonts w:ascii="Arial" w:hAnsi="Arial" w:cs="Arial"/>
        </w:rPr>
      </w:pPr>
      <w:hyperlink r:id="rId6" w:history="1">
        <w:r w:rsidRPr="00C62F5D">
          <w:rPr>
            <w:rStyle w:val="Hipervnculo"/>
            <w:rFonts w:ascii="Arial" w:hAnsi="Arial" w:cs="Arial"/>
          </w:rPr>
          <w:t>http://biblio.juridicas.unam.mx/libros/2/516/1.pdf</w:t>
        </w:r>
      </w:hyperlink>
    </w:p>
    <w:p w:rsidR="00FB5495" w:rsidRPr="004A6E73" w:rsidRDefault="00FB5495" w:rsidP="007E2AA1">
      <w:pPr>
        <w:spacing w:after="0" w:line="360" w:lineRule="auto"/>
        <w:jc w:val="both"/>
        <w:rPr>
          <w:rFonts w:ascii="Arial" w:hAnsi="Arial" w:cs="Arial"/>
        </w:rPr>
      </w:pPr>
    </w:p>
    <w:sectPr w:rsidR="00FB5495" w:rsidRPr="004A6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AA"/>
    <w:rsid w:val="00022E8D"/>
    <w:rsid w:val="000A36BE"/>
    <w:rsid w:val="000A6590"/>
    <w:rsid w:val="000C2A62"/>
    <w:rsid w:val="0016785D"/>
    <w:rsid w:val="00192204"/>
    <w:rsid w:val="00216D7B"/>
    <w:rsid w:val="00230883"/>
    <w:rsid w:val="002411A9"/>
    <w:rsid w:val="00336506"/>
    <w:rsid w:val="003D7C8C"/>
    <w:rsid w:val="003E4AB7"/>
    <w:rsid w:val="004A6E73"/>
    <w:rsid w:val="004D6049"/>
    <w:rsid w:val="006C2F29"/>
    <w:rsid w:val="00705959"/>
    <w:rsid w:val="007E2AA1"/>
    <w:rsid w:val="00824945"/>
    <w:rsid w:val="008C6DE6"/>
    <w:rsid w:val="00A9712B"/>
    <w:rsid w:val="00B11133"/>
    <w:rsid w:val="00BD0950"/>
    <w:rsid w:val="00C04290"/>
    <w:rsid w:val="00C2030A"/>
    <w:rsid w:val="00C44AA5"/>
    <w:rsid w:val="00CC46A1"/>
    <w:rsid w:val="00D50422"/>
    <w:rsid w:val="00DB2BAA"/>
    <w:rsid w:val="00DC0780"/>
    <w:rsid w:val="00EE4A9D"/>
    <w:rsid w:val="00EF643C"/>
    <w:rsid w:val="00F3274C"/>
    <w:rsid w:val="00F5026D"/>
    <w:rsid w:val="00FB5495"/>
    <w:rsid w:val="00FE7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E4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54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E4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5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5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blio.juridicas.unam.mx/libros/2/516/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admin</cp:lastModifiedBy>
  <cp:revision>29</cp:revision>
  <dcterms:created xsi:type="dcterms:W3CDTF">2015-05-23T23:36:00Z</dcterms:created>
  <dcterms:modified xsi:type="dcterms:W3CDTF">2015-05-24T02:14:00Z</dcterms:modified>
</cp:coreProperties>
</file>