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0DB" w:rsidRPr="00E16979" w:rsidRDefault="007770DB" w:rsidP="007770DB">
      <w:pPr>
        <w:rPr>
          <w:rFonts w:ascii="Arial" w:hAnsi="Arial" w:cs="Arial"/>
          <w:sz w:val="18"/>
          <w:lang w:val="es-MX"/>
        </w:rPr>
      </w:pPr>
    </w:p>
    <w:p w:rsidR="00033E06" w:rsidRPr="00E16979" w:rsidRDefault="00033E06" w:rsidP="007770DB">
      <w:pPr>
        <w:rPr>
          <w:rFonts w:ascii="Arial" w:hAnsi="Arial" w:cs="Arial"/>
          <w:sz w:val="18"/>
          <w:lang w:val="es-MX"/>
        </w:rPr>
      </w:pPr>
    </w:p>
    <w:p w:rsidR="00033E06" w:rsidRPr="00E16979" w:rsidRDefault="00033E06" w:rsidP="00033E06">
      <w:pPr>
        <w:jc w:val="center"/>
        <w:rPr>
          <w:rFonts w:ascii="Arial" w:hAnsi="Arial" w:cs="Arial"/>
          <w:sz w:val="18"/>
          <w:lang w:val="es-MX"/>
        </w:rPr>
      </w:pPr>
    </w:p>
    <w:p w:rsidR="000A674D" w:rsidRPr="006A4FCF" w:rsidRDefault="00783154" w:rsidP="000A674D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         </w:t>
      </w:r>
      <w:r w:rsidR="000A674D" w:rsidRPr="006A4FCF">
        <w:rPr>
          <w:rFonts w:ascii="Arial" w:hAnsi="Arial" w:cs="Arial"/>
          <w:b/>
          <w:sz w:val="28"/>
          <w:szCs w:val="24"/>
        </w:rPr>
        <w:t>INSTITUTO DE ADMINISTRACION PÚBLICA DEL ESTADO DE CHIAPAS</w:t>
      </w:r>
    </w:p>
    <w:p w:rsidR="000A674D" w:rsidRPr="006A4FCF" w:rsidRDefault="000A674D" w:rsidP="000A674D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0A674D" w:rsidRDefault="000A674D" w:rsidP="000A674D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6A4FCF">
        <w:rPr>
          <w:rFonts w:ascii="Arial" w:hAnsi="Arial" w:cs="Arial"/>
          <w:b/>
          <w:sz w:val="28"/>
          <w:szCs w:val="24"/>
        </w:rPr>
        <w:t>MAESTRIA DE ADMINISTRACIÓN</w:t>
      </w:r>
    </w:p>
    <w:p w:rsidR="000A674D" w:rsidRDefault="000A674D" w:rsidP="000A674D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6A4FCF">
        <w:rPr>
          <w:rFonts w:ascii="Arial" w:hAnsi="Arial" w:cs="Arial"/>
          <w:b/>
          <w:sz w:val="28"/>
          <w:szCs w:val="24"/>
        </w:rPr>
        <w:t xml:space="preserve"> Y POLÍTICAS PÚBLICAS </w:t>
      </w:r>
    </w:p>
    <w:p w:rsidR="000A674D" w:rsidRDefault="000A674D" w:rsidP="000A674D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0A674D" w:rsidRDefault="000A674D" w:rsidP="000A674D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DISEÑO Y ANALISIS DE POLITICAS PÚBLICAS</w:t>
      </w:r>
    </w:p>
    <w:p w:rsidR="00783154" w:rsidRDefault="00783154" w:rsidP="007A41AF">
      <w:pPr>
        <w:spacing w:line="240" w:lineRule="auto"/>
        <w:contextualSpacing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¿Cuáles </w:t>
      </w:r>
      <w:r w:rsidR="007A41AF">
        <w:rPr>
          <w:rFonts w:ascii="Arial" w:hAnsi="Arial" w:cs="Arial"/>
          <w:sz w:val="28"/>
          <w:szCs w:val="24"/>
        </w:rPr>
        <w:t xml:space="preserve">son las </w:t>
      </w:r>
      <w:r w:rsidR="007A41AF" w:rsidRPr="007A41AF">
        <w:rPr>
          <w:rFonts w:ascii="Arial" w:hAnsi="Arial" w:cs="Arial"/>
          <w:sz w:val="28"/>
          <w:szCs w:val="24"/>
        </w:rPr>
        <w:t>principales Tipologías y Fuentes de Información que tr</w:t>
      </w:r>
      <w:r w:rsidR="007A41AF">
        <w:rPr>
          <w:rFonts w:ascii="Arial" w:hAnsi="Arial" w:cs="Arial"/>
          <w:sz w:val="28"/>
          <w:szCs w:val="24"/>
        </w:rPr>
        <w:t>ibutan a las políticas públicas</w:t>
      </w:r>
      <w:r>
        <w:rPr>
          <w:rFonts w:ascii="Arial" w:hAnsi="Arial" w:cs="Arial"/>
          <w:sz w:val="28"/>
          <w:szCs w:val="24"/>
        </w:rPr>
        <w:t>?</w:t>
      </w:r>
    </w:p>
    <w:p w:rsidR="00783154" w:rsidRDefault="00783154" w:rsidP="00783154">
      <w:pPr>
        <w:spacing w:line="240" w:lineRule="auto"/>
        <w:contextualSpacing/>
        <w:jc w:val="both"/>
        <w:rPr>
          <w:rFonts w:ascii="Arial" w:hAnsi="Arial" w:cs="Arial"/>
          <w:sz w:val="28"/>
          <w:szCs w:val="24"/>
        </w:rPr>
      </w:pPr>
    </w:p>
    <w:p w:rsidR="000A674D" w:rsidRPr="00EA782E" w:rsidRDefault="000A674D" w:rsidP="000A674D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0A674D" w:rsidRDefault="000A674D" w:rsidP="000A674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0A674D" w:rsidRDefault="000A674D" w:rsidP="000A674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2871A1">
        <w:rPr>
          <w:rFonts w:ascii="Arial" w:hAnsi="Arial" w:cs="Arial"/>
          <w:sz w:val="24"/>
          <w:szCs w:val="24"/>
        </w:rPr>
        <w:t>CATEDRATICO</w:t>
      </w:r>
      <w:r w:rsidRPr="00DA189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0A674D" w:rsidRDefault="000A674D" w:rsidP="000A674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Dra. Odalys Peñate López </w:t>
      </w:r>
    </w:p>
    <w:p w:rsidR="000A674D" w:rsidRDefault="000A674D" w:rsidP="000A674D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0A674D" w:rsidRDefault="000A674D" w:rsidP="000A674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ALUMNO: </w:t>
      </w:r>
    </w:p>
    <w:p w:rsidR="000A674D" w:rsidRPr="006A4FCF" w:rsidRDefault="000A674D" w:rsidP="000A674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CESAR ROBERTO VILLEGAS APODACA</w:t>
      </w:r>
    </w:p>
    <w:p w:rsidR="000A674D" w:rsidRPr="000F20E0" w:rsidRDefault="000A674D" w:rsidP="000A674D">
      <w:pPr>
        <w:pStyle w:val="Default"/>
        <w:spacing w:line="360" w:lineRule="auto"/>
        <w:jc w:val="right"/>
      </w:pPr>
      <w:r w:rsidRPr="000F20E0">
        <w:rPr>
          <w:bCs/>
        </w:rPr>
        <w:t xml:space="preserve">Tapachula de Córdova y Ordoñez, Chiapas, </w:t>
      </w:r>
      <w:r w:rsidR="007A41AF">
        <w:rPr>
          <w:bCs/>
        </w:rPr>
        <w:t>01 Mayo</w:t>
      </w:r>
      <w:r w:rsidRPr="000F20E0">
        <w:rPr>
          <w:bCs/>
        </w:rPr>
        <w:t xml:space="preserve"> </w:t>
      </w:r>
      <w:r w:rsidRPr="000F20E0">
        <w:t>2015.</w:t>
      </w:r>
    </w:p>
    <w:p w:rsidR="00033E06" w:rsidRDefault="00033E06" w:rsidP="007770DB">
      <w:pPr>
        <w:rPr>
          <w:rFonts w:ascii="Arial" w:hAnsi="Arial" w:cs="Arial"/>
          <w:sz w:val="18"/>
          <w:lang w:val="es-MX"/>
        </w:rPr>
      </w:pPr>
    </w:p>
    <w:p w:rsidR="00E16979" w:rsidRDefault="00E16979" w:rsidP="007770DB">
      <w:pPr>
        <w:rPr>
          <w:rFonts w:ascii="Arial" w:hAnsi="Arial" w:cs="Arial"/>
          <w:sz w:val="18"/>
          <w:lang w:val="es-MX"/>
        </w:rPr>
      </w:pPr>
    </w:p>
    <w:p w:rsidR="00783154" w:rsidRDefault="00783154" w:rsidP="00C5759D">
      <w:pPr>
        <w:jc w:val="both"/>
        <w:rPr>
          <w:rFonts w:ascii="Arial" w:hAnsi="Arial" w:cs="Arial"/>
          <w:b/>
          <w:sz w:val="24"/>
          <w:lang w:val="en-US"/>
        </w:rPr>
      </w:pPr>
    </w:p>
    <w:p w:rsidR="00783154" w:rsidRPr="007E0BF1" w:rsidRDefault="007A41AF" w:rsidP="00783154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P</w:t>
      </w:r>
      <w:r w:rsidRPr="007A41AF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rincipales Tipo</w:t>
      </w:r>
      <w:bookmarkStart w:id="0" w:name="_GoBack"/>
      <w:bookmarkEnd w:id="0"/>
      <w:r w:rsidRPr="007A41AF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logías y Fuentes de Información que tributan a las políticas públicas.</w:t>
      </w:r>
    </w:p>
    <w:p w:rsidR="00783154" w:rsidRDefault="00783154" w:rsidP="00C5759D">
      <w:pPr>
        <w:jc w:val="both"/>
        <w:rPr>
          <w:rFonts w:ascii="Arial" w:hAnsi="Arial" w:cs="Arial"/>
          <w:b/>
          <w:sz w:val="24"/>
          <w:lang w:val="en-US"/>
        </w:rPr>
      </w:pPr>
    </w:p>
    <w:p w:rsidR="007A41AF" w:rsidRPr="00727E5C" w:rsidRDefault="00727E5C" w:rsidP="007A41AF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b/>
          <w:color w:val="382E1F"/>
          <w:sz w:val="22"/>
        </w:rPr>
      </w:pPr>
      <w:r w:rsidRPr="00727E5C">
        <w:rPr>
          <w:rFonts w:ascii="Arial" w:hAnsi="Arial" w:cs="Arial"/>
          <w:b/>
          <w:color w:val="382E1F"/>
          <w:sz w:val="22"/>
        </w:rPr>
        <w:t>INTRODUCCION:</w:t>
      </w:r>
    </w:p>
    <w:p w:rsidR="007A41AF" w:rsidRDefault="007A41AF" w:rsidP="00786910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rFonts w:ascii="Arial" w:hAnsi="Arial" w:cs="Arial"/>
          <w:color w:val="382E1F"/>
          <w:sz w:val="22"/>
        </w:rPr>
      </w:pPr>
    </w:p>
    <w:p w:rsidR="001F5FA8" w:rsidRPr="001F5FA8" w:rsidRDefault="001F5FA8" w:rsidP="001F5FA8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rFonts w:ascii="Arial" w:hAnsi="Arial" w:cs="Arial"/>
          <w:color w:val="382E1F"/>
          <w:sz w:val="22"/>
        </w:rPr>
      </w:pPr>
      <w:r>
        <w:rPr>
          <w:rFonts w:ascii="Arial" w:hAnsi="Arial" w:cs="Arial"/>
          <w:color w:val="382E1F"/>
          <w:sz w:val="22"/>
        </w:rPr>
        <w:t xml:space="preserve">Actualmente en </w:t>
      </w:r>
      <w:r w:rsidR="00E07C11">
        <w:rPr>
          <w:rFonts w:ascii="Arial" w:hAnsi="Arial" w:cs="Arial"/>
          <w:color w:val="382E1F"/>
          <w:sz w:val="22"/>
        </w:rPr>
        <w:t xml:space="preserve">México </w:t>
      </w:r>
      <w:r>
        <w:rPr>
          <w:rFonts w:ascii="Arial" w:hAnsi="Arial" w:cs="Arial"/>
          <w:color w:val="382E1F"/>
          <w:sz w:val="22"/>
        </w:rPr>
        <w:t xml:space="preserve">el </w:t>
      </w:r>
      <w:r w:rsidR="00E07C11">
        <w:rPr>
          <w:rFonts w:ascii="Arial" w:hAnsi="Arial" w:cs="Arial"/>
          <w:color w:val="382E1F"/>
          <w:sz w:val="22"/>
        </w:rPr>
        <w:t>Gob</w:t>
      </w:r>
      <w:r>
        <w:rPr>
          <w:rFonts w:ascii="Arial" w:hAnsi="Arial" w:cs="Arial"/>
          <w:color w:val="382E1F"/>
          <w:sz w:val="22"/>
        </w:rPr>
        <w:t xml:space="preserve">ierno Federal </w:t>
      </w:r>
      <w:r w:rsidR="00E07C11">
        <w:rPr>
          <w:rFonts w:ascii="Arial" w:hAnsi="Arial" w:cs="Arial"/>
          <w:color w:val="382E1F"/>
          <w:sz w:val="22"/>
        </w:rPr>
        <w:t>cuenta con el Consejo Nacional de Evaluación (CONEVAL)</w:t>
      </w:r>
      <w:r>
        <w:rPr>
          <w:rFonts w:ascii="Arial" w:hAnsi="Arial" w:cs="Arial"/>
          <w:color w:val="382E1F"/>
          <w:sz w:val="22"/>
        </w:rPr>
        <w:t xml:space="preserve">, el cual </w:t>
      </w:r>
      <w:r w:rsidR="00727E5C">
        <w:rPr>
          <w:rFonts w:ascii="Arial" w:hAnsi="Arial" w:cs="Arial"/>
          <w:color w:val="382E1F"/>
          <w:sz w:val="22"/>
        </w:rPr>
        <w:t xml:space="preserve">tiene como funciones principales el normar y coordinar la evaluación de la Política Nacional del desarrollo social y las políticas, programas y acciones que ejecutan las dependencias públicas así como también establece los lineamientos y criterios para la definición, identificación y medición de la pobreza, garantizando a través de esta transparencia, objetividad y rigor técnica. </w:t>
      </w:r>
      <w:r w:rsidRPr="001F5FA8">
        <w:rPr>
          <w:rFonts w:ascii="Arial" w:hAnsi="Arial" w:cs="Arial"/>
          <w:color w:val="382E1F"/>
          <w:sz w:val="22"/>
        </w:rPr>
        <w:t>La evaluación de la política social en México, y de la política pública en general, es una herramienta fundamental para mejorar constantemente su desempeño y conocer cuáles de las acciones son o no efectivas para resolver los grandes problemas sociales y económicos que todavía aquejan al País.</w:t>
      </w:r>
    </w:p>
    <w:p w:rsidR="00727E5C" w:rsidRPr="00727E5C" w:rsidRDefault="00727E5C" w:rsidP="00727E5C">
      <w:pPr>
        <w:spacing w:before="100" w:beforeAutospacing="1" w:after="100" w:afterAutospacing="1" w:line="360" w:lineRule="auto"/>
        <w:contextualSpacing/>
        <w:jc w:val="both"/>
        <w:rPr>
          <w:rFonts w:ascii="Arial" w:eastAsia="Times New Roman" w:hAnsi="Arial" w:cs="Arial"/>
          <w:color w:val="382E1F"/>
          <w:szCs w:val="24"/>
          <w:lang w:val="es-MX" w:eastAsia="es-MX"/>
        </w:rPr>
      </w:pPr>
      <w:r w:rsidRPr="00E07C11">
        <w:rPr>
          <w:rFonts w:ascii="Arial" w:eastAsia="Times New Roman" w:hAnsi="Arial" w:cs="Arial"/>
          <w:color w:val="382E1F"/>
          <w:szCs w:val="24"/>
          <w:lang w:val="es-MX" w:eastAsia="es-MX"/>
        </w:rPr>
        <w:t>Uno de los principales objetivos de la Valoración del Desempeño de los Programas Federales d</w:t>
      </w:r>
      <w:r>
        <w:rPr>
          <w:rFonts w:ascii="Arial" w:eastAsia="Times New Roman" w:hAnsi="Arial" w:cs="Arial"/>
          <w:color w:val="382E1F"/>
          <w:szCs w:val="24"/>
          <w:lang w:val="es-MX" w:eastAsia="es-MX"/>
        </w:rPr>
        <w:t xml:space="preserve">e Desarrollo Social </w:t>
      </w:r>
      <w:r w:rsidRPr="00E07C11">
        <w:rPr>
          <w:rFonts w:ascii="Arial" w:eastAsia="Times New Roman" w:hAnsi="Arial" w:cs="Arial"/>
          <w:color w:val="382E1F"/>
          <w:szCs w:val="24"/>
          <w:lang w:val="es-MX" w:eastAsia="es-MX"/>
        </w:rPr>
        <w:t>es aportar información clave para el proceso presupuestario. En particular, constituye un insumo fundamental para el Modelo Sintético del Desempeño de la Secretaría de Hacienda y Crédito Público (SHCP).</w:t>
      </w:r>
      <w:r w:rsidR="00D22810">
        <w:rPr>
          <w:rFonts w:ascii="Arial" w:eastAsia="Times New Roman" w:hAnsi="Arial" w:cs="Arial"/>
          <w:color w:val="382E1F"/>
          <w:szCs w:val="24"/>
          <w:lang w:val="es-MX" w:eastAsia="es-MX"/>
        </w:rPr>
        <w:t xml:space="preserve"> E</w:t>
      </w:r>
      <w:r w:rsidR="00D22810" w:rsidRPr="00D66C17">
        <w:rPr>
          <w:rFonts w:ascii="Arial" w:eastAsia="Times New Roman" w:hAnsi="Arial" w:cs="Arial"/>
          <w:lang w:eastAsia="es-MX"/>
        </w:rPr>
        <w:t xml:space="preserve">n nuestro país las políticas </w:t>
      </w:r>
      <w:r w:rsidR="00D22810">
        <w:rPr>
          <w:rFonts w:ascii="Arial" w:eastAsia="Times New Roman" w:hAnsi="Arial" w:cs="Arial"/>
          <w:lang w:eastAsia="es-MX"/>
        </w:rPr>
        <w:t xml:space="preserve">públicas </w:t>
      </w:r>
      <w:r w:rsidR="00D22810" w:rsidRPr="00D66C17">
        <w:rPr>
          <w:rFonts w:ascii="Arial" w:eastAsia="Times New Roman" w:hAnsi="Arial" w:cs="Arial"/>
          <w:lang w:eastAsia="es-MX"/>
        </w:rPr>
        <w:t>se dividen en tres grandes grupos: Desarrollo Social, Educación y Salud, dentro de los cuales se agrupan las 188 políticas vigentes.</w:t>
      </w:r>
    </w:p>
    <w:p w:rsidR="00D22810" w:rsidRPr="00727E5C" w:rsidRDefault="00D22810" w:rsidP="00D22810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ascii="Arial" w:hAnsi="Arial" w:cs="Arial"/>
          <w:b/>
          <w:color w:val="382E1F"/>
          <w:sz w:val="22"/>
        </w:rPr>
      </w:pPr>
      <w:r>
        <w:rPr>
          <w:rFonts w:ascii="Arial" w:hAnsi="Arial" w:cs="Arial"/>
          <w:b/>
          <w:color w:val="382E1F"/>
          <w:sz w:val="22"/>
        </w:rPr>
        <w:t>DESARROLLO</w:t>
      </w:r>
      <w:r w:rsidRPr="00727E5C">
        <w:rPr>
          <w:rFonts w:ascii="Arial" w:hAnsi="Arial" w:cs="Arial"/>
          <w:b/>
          <w:color w:val="382E1F"/>
          <w:sz w:val="22"/>
        </w:rPr>
        <w:t>:</w:t>
      </w:r>
    </w:p>
    <w:p w:rsidR="00D22810" w:rsidRDefault="00D22810" w:rsidP="00D22810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rFonts w:ascii="Arial" w:hAnsi="Arial" w:cs="Arial"/>
          <w:color w:val="382E1F"/>
          <w:sz w:val="22"/>
        </w:rPr>
      </w:pPr>
    </w:p>
    <w:p w:rsidR="00727E5C" w:rsidRDefault="00D22810" w:rsidP="00E57CC6">
      <w:pPr>
        <w:spacing w:line="360" w:lineRule="auto"/>
        <w:contextualSpacing/>
        <w:jc w:val="both"/>
        <w:rPr>
          <w:rFonts w:ascii="Verdana" w:hAnsi="Verdana"/>
          <w:color w:val="002163"/>
          <w:sz w:val="16"/>
          <w:szCs w:val="16"/>
        </w:rPr>
      </w:pPr>
      <w:r>
        <w:rPr>
          <w:rFonts w:ascii="Arial" w:hAnsi="Arial" w:cs="Arial"/>
          <w:color w:val="382E1F"/>
        </w:rPr>
        <w:t>La evaluación de estas políticas públicas permite medir sus avances y resultados en el logro de sus objetivos, en la entrega de bienes y servicios, en sus indicadores, en la cobertura y el seguimiento a las recomendaciones de evaluaciones externas establecidos al inicio del ejercicio del programa</w:t>
      </w:r>
      <w:r w:rsidR="00F32FD6">
        <w:rPr>
          <w:rFonts w:ascii="Arial" w:hAnsi="Arial" w:cs="Arial"/>
          <w:color w:val="382E1F"/>
        </w:rPr>
        <w:t>. Lo cual permite mostrar las fortalezas, recomendaciones, retos y conclusiones de estas evaluaciones. Para así mostrar los avances en el ejercicio</w:t>
      </w:r>
      <w:r w:rsidR="00E57CC6">
        <w:rPr>
          <w:rFonts w:ascii="Arial" w:hAnsi="Arial" w:cs="Arial"/>
          <w:color w:val="382E1F"/>
        </w:rPr>
        <w:t xml:space="preserve"> presupuestal; el derecho social al que está alineado el programa, y su incidencia distributiva. La Evaluación del Desempeño de los programas federales contribuye también con la transparencia y con la rendición de cuentas.</w:t>
      </w:r>
    </w:p>
    <w:p w:rsidR="009D6872" w:rsidRDefault="002C736F" w:rsidP="009D6872">
      <w:pPr>
        <w:pStyle w:val="Default"/>
        <w:spacing w:line="360" w:lineRule="auto"/>
        <w:rPr>
          <w:rFonts w:eastAsia="Times New Roman"/>
          <w:b/>
          <w:sz w:val="22"/>
          <w:szCs w:val="22"/>
          <w:lang w:eastAsia="es-MX"/>
        </w:rPr>
      </w:pPr>
      <w:r>
        <w:rPr>
          <w:rFonts w:eastAsia="Times New Roman"/>
          <w:b/>
          <w:sz w:val="22"/>
          <w:szCs w:val="22"/>
          <w:lang w:eastAsia="es-MX"/>
        </w:rPr>
        <w:lastRenderedPageBreak/>
        <w:t xml:space="preserve">DESARROLLO SOCIAL: </w:t>
      </w:r>
    </w:p>
    <w:p w:rsidR="009D6872" w:rsidRPr="002C736F" w:rsidRDefault="002C736F" w:rsidP="002C736F">
      <w:pPr>
        <w:pStyle w:val="Default"/>
        <w:spacing w:line="360" w:lineRule="auto"/>
        <w:jc w:val="both"/>
        <w:rPr>
          <w:rFonts w:eastAsia="Times New Roman"/>
          <w:sz w:val="22"/>
          <w:szCs w:val="22"/>
          <w:lang w:eastAsia="es-MX"/>
        </w:rPr>
      </w:pPr>
      <w:r>
        <w:rPr>
          <w:rFonts w:eastAsia="Times New Roman"/>
          <w:sz w:val="22"/>
          <w:szCs w:val="22"/>
          <w:lang w:eastAsia="es-MX"/>
        </w:rPr>
        <w:t xml:space="preserve">Sistema de Información Social (SIS), cuenta con el objetivo de poner a disposición de </w:t>
      </w:r>
      <w:r w:rsidRPr="002C736F">
        <w:rPr>
          <w:rFonts w:eastAsia="Times New Roman"/>
          <w:sz w:val="22"/>
          <w:szCs w:val="22"/>
          <w:lang w:eastAsia="es-MX"/>
        </w:rPr>
        <w:t>tomadores de decisiones una herramienta de consulta de información</w:t>
      </w:r>
      <w:r>
        <w:rPr>
          <w:rFonts w:eastAsia="Times New Roman"/>
          <w:sz w:val="22"/>
          <w:szCs w:val="22"/>
          <w:lang w:eastAsia="es-MX"/>
        </w:rPr>
        <w:t xml:space="preserve"> </w:t>
      </w:r>
      <w:r w:rsidRPr="002C736F">
        <w:rPr>
          <w:rFonts w:eastAsia="Times New Roman"/>
          <w:sz w:val="22"/>
          <w:szCs w:val="22"/>
          <w:lang w:eastAsia="es-MX"/>
        </w:rPr>
        <w:t>geográfica, estadística y de programas sociales de</w:t>
      </w:r>
      <w:r>
        <w:rPr>
          <w:rFonts w:eastAsia="Times New Roman"/>
          <w:sz w:val="22"/>
          <w:szCs w:val="22"/>
          <w:lang w:eastAsia="es-MX"/>
        </w:rPr>
        <w:t xml:space="preserve"> </w:t>
      </w:r>
      <w:r w:rsidRPr="002C736F">
        <w:rPr>
          <w:rFonts w:eastAsia="Times New Roman"/>
          <w:sz w:val="22"/>
          <w:szCs w:val="22"/>
          <w:lang w:eastAsia="es-MX"/>
        </w:rPr>
        <w:t>la Secretaría, que proporcione elementos para el direccionamiento y focalización de programas sociales.</w:t>
      </w:r>
      <w:r>
        <w:rPr>
          <w:rFonts w:eastAsia="Times New Roman"/>
          <w:sz w:val="22"/>
          <w:szCs w:val="22"/>
          <w:lang w:eastAsia="es-MX"/>
        </w:rPr>
        <w:t xml:space="preserve"> Conformado por: </w:t>
      </w:r>
    </w:p>
    <w:p w:rsidR="002C736F" w:rsidRPr="00C84CEB" w:rsidRDefault="002C736F" w:rsidP="00C84CEB">
      <w:pPr>
        <w:pStyle w:val="Default"/>
        <w:spacing w:line="360" w:lineRule="auto"/>
        <w:jc w:val="both"/>
        <w:rPr>
          <w:rFonts w:eastAsia="Times New Roman"/>
          <w:lang w:eastAsia="es-MX"/>
        </w:rPr>
      </w:pPr>
      <w:r w:rsidRPr="002C736F">
        <w:rPr>
          <w:rFonts w:eastAsia="Times New Roman"/>
          <w:sz w:val="22"/>
          <w:szCs w:val="22"/>
          <w:lang w:eastAsia="es-MX"/>
        </w:rPr>
        <w:t>Información del Censo de Población y Vivienda 2010</w:t>
      </w:r>
      <w:r>
        <w:rPr>
          <w:rFonts w:eastAsia="Times New Roman"/>
          <w:sz w:val="22"/>
          <w:szCs w:val="22"/>
          <w:lang w:eastAsia="es-MX"/>
        </w:rPr>
        <w:t xml:space="preserve"> de manera E</w:t>
      </w:r>
      <w:r w:rsidRPr="002C736F">
        <w:rPr>
          <w:rFonts w:eastAsia="Times New Roman"/>
          <w:sz w:val="22"/>
          <w:szCs w:val="22"/>
          <w:lang w:eastAsia="es-MX"/>
        </w:rPr>
        <w:t>stadística</w:t>
      </w:r>
      <w:r>
        <w:rPr>
          <w:rFonts w:eastAsia="Times New Roman"/>
          <w:sz w:val="22"/>
          <w:szCs w:val="22"/>
          <w:lang w:eastAsia="es-MX"/>
        </w:rPr>
        <w:t xml:space="preserve"> y </w:t>
      </w:r>
      <w:r w:rsidRPr="002C736F">
        <w:rPr>
          <w:rFonts w:eastAsia="Times New Roman"/>
          <w:sz w:val="22"/>
          <w:szCs w:val="22"/>
          <w:lang w:eastAsia="es-MX"/>
        </w:rPr>
        <w:t>Geográfica</w:t>
      </w:r>
      <w:r>
        <w:rPr>
          <w:rFonts w:eastAsia="Times New Roman"/>
          <w:sz w:val="22"/>
          <w:szCs w:val="22"/>
          <w:lang w:eastAsia="es-MX"/>
        </w:rPr>
        <w:t>, I</w:t>
      </w:r>
      <w:r w:rsidRPr="002C736F">
        <w:rPr>
          <w:rFonts w:eastAsia="Times New Roman"/>
          <w:sz w:val="22"/>
          <w:szCs w:val="22"/>
          <w:lang w:eastAsia="es-MX"/>
        </w:rPr>
        <w:t>nformación de los padrones de beneficiarios de los programas</w:t>
      </w:r>
      <w:r>
        <w:rPr>
          <w:rFonts w:eastAsia="Times New Roman"/>
          <w:lang w:eastAsia="es-MX"/>
        </w:rPr>
        <w:t xml:space="preserve"> </w:t>
      </w:r>
      <w:r w:rsidRPr="002C736F">
        <w:rPr>
          <w:rFonts w:eastAsia="Times New Roman"/>
          <w:sz w:val="22"/>
          <w:szCs w:val="22"/>
          <w:lang w:eastAsia="es-MX"/>
        </w:rPr>
        <w:t>sociales de SEDESOL</w:t>
      </w:r>
      <w:r>
        <w:rPr>
          <w:rFonts w:eastAsia="Times New Roman"/>
          <w:sz w:val="22"/>
          <w:szCs w:val="22"/>
          <w:lang w:eastAsia="es-MX"/>
        </w:rPr>
        <w:t xml:space="preserve"> (Pensión para adultos mayores, Programa 3 x</w:t>
      </w:r>
      <w:r w:rsidR="00C84CEB">
        <w:rPr>
          <w:rFonts w:eastAsia="Times New Roman"/>
          <w:sz w:val="22"/>
          <w:szCs w:val="22"/>
          <w:lang w:eastAsia="es-MX"/>
        </w:rPr>
        <w:t xml:space="preserve"> </w:t>
      </w:r>
      <w:r>
        <w:rPr>
          <w:rFonts w:eastAsia="Times New Roman"/>
          <w:sz w:val="22"/>
          <w:szCs w:val="22"/>
          <w:lang w:eastAsia="es-MX"/>
        </w:rPr>
        <w:t xml:space="preserve">1 para migrantes y Oportunidades, </w:t>
      </w:r>
      <w:r w:rsidRPr="002C736F">
        <w:rPr>
          <w:rFonts w:eastAsia="Times New Roman"/>
          <w:sz w:val="22"/>
          <w:szCs w:val="22"/>
          <w:lang w:eastAsia="es-MX"/>
        </w:rPr>
        <w:t>Información sobre la infraestructura social de la SEDESOL</w:t>
      </w:r>
      <w:r w:rsidRPr="002C736F">
        <w:rPr>
          <w:rFonts w:eastAsia="Times New Roman"/>
          <w:sz w:val="22"/>
          <w:szCs w:val="22"/>
          <w:lang w:eastAsia="es-MX"/>
        </w:rPr>
        <w:t xml:space="preserve"> (DICONSA)</w:t>
      </w:r>
      <w:r>
        <w:rPr>
          <w:rFonts w:eastAsia="Times New Roman"/>
          <w:sz w:val="22"/>
          <w:szCs w:val="22"/>
          <w:lang w:eastAsia="es-MX"/>
        </w:rPr>
        <w:t xml:space="preserve">, </w:t>
      </w:r>
      <w:r w:rsidRPr="00587A3A">
        <w:t xml:space="preserve">Información de </w:t>
      </w:r>
      <w:r w:rsidRPr="00587A3A">
        <w:rPr>
          <w:bCs/>
        </w:rPr>
        <w:t>Zonas de Atención Prioritaria</w:t>
      </w:r>
      <w:r w:rsidR="00C84CEB">
        <w:rPr>
          <w:bCs/>
        </w:rPr>
        <w:t xml:space="preserve">, </w:t>
      </w:r>
      <w:r w:rsidR="00C84CEB">
        <w:rPr>
          <w:rFonts w:eastAsia="Times New Roman"/>
          <w:lang w:eastAsia="es-MX"/>
        </w:rPr>
        <w:t xml:space="preserve">Generación de mapas Temáticos, </w:t>
      </w:r>
      <w:r w:rsidR="00C84CEB" w:rsidRPr="00C84CEB">
        <w:rPr>
          <w:rFonts w:eastAsia="Times New Roman"/>
          <w:sz w:val="22"/>
          <w:szCs w:val="22"/>
          <w:lang w:eastAsia="es-MX"/>
        </w:rPr>
        <w:t>Análi</w:t>
      </w:r>
      <w:r w:rsidR="00C84CEB">
        <w:rPr>
          <w:rFonts w:eastAsia="Times New Roman"/>
          <w:lang w:eastAsia="es-MX"/>
        </w:rPr>
        <w:t xml:space="preserve">sis del perfil de la población, </w:t>
      </w:r>
      <w:r w:rsidR="00C84CEB" w:rsidRPr="00C84CEB">
        <w:rPr>
          <w:rFonts w:eastAsia="Times New Roman"/>
          <w:sz w:val="22"/>
          <w:szCs w:val="22"/>
          <w:lang w:eastAsia="es-MX"/>
        </w:rPr>
        <w:t>Análisis histórico de localidades.</w:t>
      </w:r>
    </w:p>
    <w:p w:rsidR="0025046B" w:rsidRDefault="0025046B" w:rsidP="00C84CEB">
      <w:pPr>
        <w:pStyle w:val="Default"/>
        <w:spacing w:line="360" w:lineRule="auto"/>
        <w:rPr>
          <w:rFonts w:eastAsia="Times New Roman"/>
          <w:b/>
          <w:sz w:val="22"/>
          <w:szCs w:val="22"/>
          <w:lang w:eastAsia="es-MX"/>
        </w:rPr>
      </w:pPr>
    </w:p>
    <w:p w:rsidR="00C84CEB" w:rsidRDefault="00C84CEB" w:rsidP="00C84CEB">
      <w:pPr>
        <w:pStyle w:val="Default"/>
        <w:spacing w:line="360" w:lineRule="auto"/>
        <w:rPr>
          <w:rFonts w:eastAsia="Times New Roman"/>
          <w:b/>
          <w:sz w:val="22"/>
          <w:szCs w:val="22"/>
          <w:lang w:eastAsia="es-MX"/>
        </w:rPr>
      </w:pPr>
      <w:r>
        <w:rPr>
          <w:rFonts w:eastAsia="Times New Roman"/>
          <w:b/>
          <w:sz w:val="22"/>
          <w:szCs w:val="22"/>
          <w:lang w:eastAsia="es-MX"/>
        </w:rPr>
        <w:t>E</w:t>
      </w:r>
      <w:r>
        <w:rPr>
          <w:rFonts w:eastAsia="Times New Roman"/>
          <w:b/>
          <w:sz w:val="22"/>
          <w:szCs w:val="22"/>
          <w:lang w:eastAsia="es-MX"/>
        </w:rPr>
        <w:t>DUCACIÓN</w:t>
      </w:r>
      <w:r>
        <w:rPr>
          <w:rFonts w:eastAsia="Times New Roman"/>
          <w:b/>
          <w:sz w:val="22"/>
          <w:szCs w:val="22"/>
          <w:lang w:eastAsia="es-MX"/>
        </w:rPr>
        <w:t xml:space="preserve">: </w:t>
      </w:r>
    </w:p>
    <w:p w:rsidR="00E57CC6" w:rsidRDefault="00860BBF" w:rsidP="00860BBF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color w:val="002163"/>
          <w:szCs w:val="16"/>
          <w:lang w:val="es-MX" w:eastAsia="es-MX"/>
        </w:rPr>
      </w:pPr>
      <w:r>
        <w:rPr>
          <w:rFonts w:ascii="Arial" w:eastAsia="Times New Roman" w:hAnsi="Arial" w:cs="Arial"/>
          <w:color w:val="000000"/>
          <w:lang w:val="es-MX" w:eastAsia="es-MX"/>
        </w:rPr>
        <w:t xml:space="preserve">Evaluada a través del Instituto Nacional para la Evaluación en Educación (INNE), la cual permite monitorear el desempeño del </w:t>
      </w:r>
      <w:r w:rsidR="00C84CEB" w:rsidRPr="00860BBF">
        <w:rPr>
          <w:rFonts w:ascii="Arial" w:eastAsia="Times New Roman" w:hAnsi="Arial" w:cs="Arial"/>
          <w:color w:val="000000"/>
          <w:lang w:val="es-MX" w:eastAsia="es-MX"/>
        </w:rPr>
        <w:t xml:space="preserve">Sistema Nacional de Indicadores Educativos </w:t>
      </w:r>
      <w:r w:rsidRPr="00860BBF">
        <w:rPr>
          <w:rFonts w:ascii="Arial" w:eastAsia="Times New Roman" w:hAnsi="Arial" w:cs="Arial"/>
          <w:color w:val="000000"/>
          <w:lang w:val="es-MX" w:eastAsia="es-MX"/>
        </w:rPr>
        <w:t>(SINI</w:t>
      </w:r>
      <w:r>
        <w:rPr>
          <w:rFonts w:ascii="Arial" w:eastAsia="Times New Roman" w:hAnsi="Arial" w:cs="Arial"/>
          <w:color w:val="000000"/>
          <w:lang w:val="es-MX" w:eastAsia="es-MX"/>
        </w:rPr>
        <w:t>NDE). El cual se encuentra conformado por 25 Indicadores subdivididos en Sociodemográficos, Socioculturales, Socioeconómicos y Socioe</w:t>
      </w:r>
      <w:r w:rsidR="00D70059">
        <w:rPr>
          <w:rFonts w:ascii="Arial" w:eastAsia="Times New Roman" w:hAnsi="Arial" w:cs="Arial"/>
          <w:color w:val="000000"/>
          <w:lang w:val="es-MX" w:eastAsia="es-MX"/>
        </w:rPr>
        <w:t>ducativos. Los cuales proporcionan información de los centros educativos de los diferentes niveles desde el nivel básico hasta el superior a través del sistema de información el cual articula estos diferentes componentes educativos</w:t>
      </w:r>
      <w:r w:rsidR="0085215A">
        <w:rPr>
          <w:rFonts w:ascii="Arial" w:eastAsia="Times New Roman" w:hAnsi="Arial" w:cs="Arial"/>
          <w:color w:val="000000"/>
          <w:lang w:val="es-MX" w:eastAsia="es-MX"/>
        </w:rPr>
        <w:t>.</w:t>
      </w:r>
      <w:r w:rsidR="00D70059">
        <w:rPr>
          <w:rFonts w:ascii="Arial" w:eastAsia="Times New Roman" w:hAnsi="Arial" w:cs="Arial"/>
          <w:color w:val="000000"/>
          <w:lang w:val="es-MX" w:eastAsia="es-MX"/>
        </w:rPr>
        <w:t xml:space="preserve">  </w:t>
      </w:r>
    </w:p>
    <w:p w:rsidR="0085215A" w:rsidRDefault="0085215A" w:rsidP="0085215A">
      <w:pPr>
        <w:pStyle w:val="Default"/>
        <w:spacing w:line="360" w:lineRule="auto"/>
        <w:contextualSpacing/>
        <w:rPr>
          <w:rFonts w:eastAsia="Times New Roman"/>
          <w:b/>
          <w:sz w:val="22"/>
          <w:szCs w:val="22"/>
          <w:lang w:eastAsia="es-MX"/>
        </w:rPr>
      </w:pPr>
    </w:p>
    <w:p w:rsidR="0085215A" w:rsidRPr="00095ECF" w:rsidRDefault="0085215A" w:rsidP="0085215A">
      <w:pPr>
        <w:pStyle w:val="Default"/>
        <w:spacing w:line="360" w:lineRule="auto"/>
        <w:rPr>
          <w:rFonts w:eastAsia="Times New Roman"/>
          <w:b/>
          <w:sz w:val="22"/>
          <w:szCs w:val="22"/>
          <w:lang w:eastAsia="es-MX"/>
        </w:rPr>
      </w:pPr>
      <w:r w:rsidRPr="00095ECF">
        <w:rPr>
          <w:rFonts w:eastAsia="Times New Roman"/>
          <w:b/>
          <w:sz w:val="22"/>
          <w:szCs w:val="22"/>
          <w:lang w:eastAsia="es-MX"/>
        </w:rPr>
        <w:t>SALUD</w:t>
      </w:r>
      <w:r w:rsidRPr="00095ECF">
        <w:rPr>
          <w:rFonts w:eastAsia="Times New Roman"/>
          <w:b/>
          <w:sz w:val="22"/>
          <w:szCs w:val="22"/>
          <w:lang w:eastAsia="es-MX"/>
        </w:rPr>
        <w:t xml:space="preserve">: </w:t>
      </w:r>
    </w:p>
    <w:p w:rsidR="0085215A" w:rsidRPr="00095ECF" w:rsidRDefault="0085215A" w:rsidP="0085215A">
      <w:pPr>
        <w:pStyle w:val="Default"/>
        <w:spacing w:line="360" w:lineRule="auto"/>
        <w:jc w:val="both"/>
        <w:rPr>
          <w:rFonts w:eastAsia="Times New Roman"/>
          <w:sz w:val="22"/>
          <w:szCs w:val="22"/>
          <w:lang w:eastAsia="es-MX"/>
        </w:rPr>
      </w:pPr>
      <w:r w:rsidRPr="00095ECF">
        <w:rPr>
          <w:rFonts w:eastAsia="Times New Roman"/>
          <w:sz w:val="22"/>
          <w:szCs w:val="22"/>
          <w:lang w:eastAsia="es-MX"/>
        </w:rPr>
        <w:t>Evaluada</w:t>
      </w:r>
      <w:r w:rsidRPr="00095ECF">
        <w:rPr>
          <w:rFonts w:eastAsia="Times New Roman"/>
          <w:sz w:val="22"/>
          <w:szCs w:val="22"/>
          <w:lang w:eastAsia="es-MX"/>
        </w:rPr>
        <w:t xml:space="preserve"> a través del Sistema Nacional en salud (SINAIS), la cual evalúa a la Dirección General de Información en Salud (DGIS), bajo el programa del Sistema de información en Salud (SIS) el cual establece los procesos e integración de información de los prestadores de servicios en las unidades médicas del país lo cual permitirá obtener una información de manera eficaz, confiable y oportuna para la buena toma de decisiones. </w:t>
      </w:r>
    </w:p>
    <w:p w:rsidR="00763D4E" w:rsidRPr="00095ECF" w:rsidRDefault="00763D4E" w:rsidP="0085215A">
      <w:pPr>
        <w:pStyle w:val="Default"/>
        <w:spacing w:line="360" w:lineRule="auto"/>
        <w:jc w:val="both"/>
        <w:rPr>
          <w:rFonts w:eastAsia="Times New Roman"/>
          <w:sz w:val="22"/>
          <w:szCs w:val="22"/>
          <w:lang w:eastAsia="es-MX"/>
        </w:rPr>
      </w:pPr>
      <w:r w:rsidRPr="00095ECF">
        <w:rPr>
          <w:rFonts w:eastAsia="Times New Roman"/>
          <w:sz w:val="22"/>
          <w:szCs w:val="22"/>
          <w:lang w:eastAsia="es-MX"/>
        </w:rPr>
        <w:t>El SIS se encuentra constituido por más de 40 programas bajo los componentes de programas Institucionales los cuales son Unidades de Consulta Externa, Hospitales y Actividades extramuros, así como Programas Comunitarios los cuales son: Servicios de Salud a poblaciones menores a 1000 habitantes, Parteras Tradicionales y Vectores.</w:t>
      </w:r>
    </w:p>
    <w:p w:rsidR="00095ECF" w:rsidRDefault="00763D4E" w:rsidP="00095ECF">
      <w:pPr>
        <w:pStyle w:val="Default"/>
        <w:spacing w:line="360" w:lineRule="auto"/>
        <w:jc w:val="both"/>
        <w:rPr>
          <w:rFonts w:eastAsia="Times New Roman"/>
          <w:sz w:val="22"/>
          <w:szCs w:val="22"/>
          <w:lang w:eastAsia="es-MX"/>
        </w:rPr>
      </w:pPr>
      <w:r w:rsidRPr="00095ECF">
        <w:rPr>
          <w:rFonts w:eastAsia="Times New Roman"/>
          <w:sz w:val="22"/>
          <w:szCs w:val="22"/>
          <w:lang w:eastAsia="es-MX"/>
        </w:rPr>
        <w:lastRenderedPageBreak/>
        <w:t>Este programa se encu</w:t>
      </w:r>
      <w:r w:rsidR="00095ECF" w:rsidRPr="00095ECF">
        <w:rPr>
          <w:rFonts w:eastAsia="Times New Roman"/>
          <w:sz w:val="22"/>
          <w:szCs w:val="22"/>
          <w:lang w:eastAsia="es-MX"/>
        </w:rPr>
        <w:t>entra regulado bajo la NOM-035-SSA</w:t>
      </w:r>
      <w:r w:rsidRPr="00095ECF">
        <w:rPr>
          <w:rFonts w:eastAsia="Times New Roman"/>
          <w:sz w:val="22"/>
          <w:szCs w:val="22"/>
          <w:lang w:eastAsia="es-MX"/>
        </w:rPr>
        <w:t xml:space="preserve">3-2012 </w:t>
      </w:r>
      <w:r w:rsidR="00095ECF" w:rsidRPr="00095ECF">
        <w:rPr>
          <w:rFonts w:eastAsia="Times New Roman"/>
          <w:sz w:val="22"/>
          <w:szCs w:val="22"/>
          <w:lang w:eastAsia="es-MX"/>
        </w:rPr>
        <w:t>en Materia de Información en Salud, la cual e</w:t>
      </w:r>
      <w:r w:rsidR="00095ECF" w:rsidRPr="00095ECF">
        <w:rPr>
          <w:rFonts w:eastAsia="Times New Roman"/>
          <w:sz w:val="22"/>
          <w:szCs w:val="22"/>
          <w:lang w:eastAsia="es-MX"/>
        </w:rPr>
        <w:t xml:space="preserve">stablece los criterios y procedimientos para </w:t>
      </w:r>
      <w:r w:rsidR="00095ECF" w:rsidRPr="00095ECF">
        <w:rPr>
          <w:rFonts w:eastAsia="Times New Roman"/>
          <w:bCs/>
          <w:sz w:val="22"/>
          <w:szCs w:val="22"/>
          <w:lang w:eastAsia="es-MX"/>
        </w:rPr>
        <w:t xml:space="preserve">producir, captar, integrar, procesar, sistematizar, evaluar y divulgar </w:t>
      </w:r>
      <w:r w:rsidR="00095ECF" w:rsidRPr="00095ECF">
        <w:rPr>
          <w:rFonts w:eastAsia="Times New Roman"/>
          <w:sz w:val="22"/>
          <w:szCs w:val="22"/>
          <w:lang w:eastAsia="es-MX"/>
        </w:rPr>
        <w:t xml:space="preserve">la información en salud. </w:t>
      </w:r>
    </w:p>
    <w:p w:rsidR="0083480F" w:rsidRDefault="0083480F" w:rsidP="00095ECF">
      <w:pPr>
        <w:pStyle w:val="Default"/>
        <w:spacing w:line="360" w:lineRule="auto"/>
        <w:jc w:val="both"/>
        <w:rPr>
          <w:rFonts w:eastAsia="Times New Roman"/>
          <w:sz w:val="22"/>
          <w:szCs w:val="22"/>
          <w:lang w:eastAsia="es-MX"/>
        </w:rPr>
      </w:pPr>
    </w:p>
    <w:p w:rsidR="0083480F" w:rsidRPr="00095ECF" w:rsidRDefault="0083480F" w:rsidP="00095ECF">
      <w:pPr>
        <w:pStyle w:val="Default"/>
        <w:spacing w:line="360" w:lineRule="auto"/>
        <w:jc w:val="both"/>
        <w:rPr>
          <w:rFonts w:eastAsia="Times New Roman"/>
          <w:sz w:val="22"/>
          <w:szCs w:val="22"/>
          <w:lang w:eastAsia="es-MX"/>
        </w:rPr>
      </w:pPr>
    </w:p>
    <w:p w:rsidR="00095ECF" w:rsidRPr="00095ECF" w:rsidRDefault="00095ECF" w:rsidP="0085215A">
      <w:pPr>
        <w:pStyle w:val="Default"/>
        <w:spacing w:line="360" w:lineRule="auto"/>
        <w:jc w:val="both"/>
        <w:rPr>
          <w:rFonts w:eastAsia="Times New Roman"/>
          <w:sz w:val="22"/>
          <w:szCs w:val="22"/>
          <w:lang w:eastAsia="es-MX"/>
        </w:rPr>
      </w:pPr>
    </w:p>
    <w:p w:rsidR="00A567F3" w:rsidRPr="00E225A7" w:rsidRDefault="00A567F3" w:rsidP="007A02D0">
      <w:pPr>
        <w:jc w:val="both"/>
        <w:rPr>
          <w:rFonts w:ascii="Arial" w:hAnsi="Arial" w:cs="Arial"/>
          <w:b/>
          <w:lang w:val="en-US"/>
        </w:rPr>
      </w:pPr>
      <w:r w:rsidRPr="00E225A7">
        <w:rPr>
          <w:rFonts w:ascii="Arial" w:hAnsi="Arial" w:cs="Arial"/>
          <w:b/>
          <w:lang w:val="en-US"/>
        </w:rPr>
        <w:t>BIBLIOGRAFIA:</w:t>
      </w:r>
    </w:p>
    <w:p w:rsidR="004C27CF" w:rsidRDefault="004C27CF" w:rsidP="00E225A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225A7">
        <w:rPr>
          <w:rFonts w:ascii="Arial" w:hAnsi="Arial" w:cs="Arial"/>
        </w:rPr>
        <w:t xml:space="preserve">NOM-035-SSA3-2012 </w:t>
      </w:r>
      <w:r w:rsidRPr="00E225A7">
        <w:rPr>
          <w:rFonts w:ascii="Arial" w:hAnsi="Arial" w:cs="Arial"/>
          <w:i/>
        </w:rPr>
        <w:t>en MATERIA DE INFORMACION EN SALUD</w:t>
      </w:r>
      <w:r w:rsidRPr="00E225A7">
        <w:rPr>
          <w:rFonts w:ascii="Arial" w:hAnsi="Arial" w:cs="Arial"/>
          <w:i/>
        </w:rPr>
        <w:t xml:space="preserve">; </w:t>
      </w:r>
      <w:r w:rsidRPr="00E225A7">
        <w:rPr>
          <w:rFonts w:ascii="Arial" w:hAnsi="Arial" w:cs="Arial"/>
        </w:rPr>
        <w:t>DOF 30 de E</w:t>
      </w:r>
      <w:r w:rsidRPr="00E225A7">
        <w:rPr>
          <w:rFonts w:ascii="Arial" w:hAnsi="Arial" w:cs="Arial"/>
        </w:rPr>
        <w:t xml:space="preserve">nero de 2013. </w:t>
      </w:r>
    </w:p>
    <w:p w:rsidR="00E225A7" w:rsidRPr="00E225A7" w:rsidRDefault="00E225A7" w:rsidP="00E225A7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E225A7" w:rsidRPr="00E225A7" w:rsidRDefault="004C27CF" w:rsidP="00E225A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225A7">
        <w:rPr>
          <w:rFonts w:ascii="Arial" w:hAnsi="Arial" w:cs="Arial"/>
        </w:rPr>
        <w:t xml:space="preserve">Evaluación de la Política Social CONEVAL Consejo Nacional de la Evaluación </w:t>
      </w:r>
      <w:hyperlink r:id="rId8" w:history="1">
        <w:r w:rsidRPr="00E225A7">
          <w:rPr>
            <w:rStyle w:val="Hipervnculo"/>
            <w:rFonts w:ascii="Arial" w:hAnsi="Arial" w:cs="Arial"/>
          </w:rPr>
          <w:t>www.coneval.gob.mx</w:t>
        </w:r>
      </w:hyperlink>
      <w:r w:rsidRPr="00E225A7">
        <w:rPr>
          <w:rFonts w:ascii="Arial" w:hAnsi="Arial" w:cs="Arial"/>
        </w:rPr>
        <w:t xml:space="preserve">. </w:t>
      </w:r>
    </w:p>
    <w:p w:rsidR="00E225A7" w:rsidRPr="00E225A7" w:rsidRDefault="00E225A7" w:rsidP="00E225A7">
      <w:pPr>
        <w:pStyle w:val="Prrafodelista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A567F3" w:rsidRDefault="00E225A7" w:rsidP="00E225A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E225A7">
        <w:rPr>
          <w:rFonts w:ascii="Arial" w:hAnsi="Arial" w:cs="Arial"/>
          <w:i/>
        </w:rPr>
        <w:t>Sistema de Indicadores Educativos de los Estados Unidos Mexicanos,</w:t>
      </w:r>
      <w:r>
        <w:rPr>
          <w:rFonts w:ascii="Arial" w:hAnsi="Arial" w:cs="Arial"/>
        </w:rPr>
        <w:t xml:space="preserve"> </w:t>
      </w:r>
      <w:r w:rsidRPr="00E225A7">
        <w:rPr>
          <w:rFonts w:ascii="Arial" w:hAnsi="Arial" w:cs="Arial"/>
        </w:rPr>
        <w:t>Dirección General de Planeación y Programación</w:t>
      </w:r>
      <w:r w:rsidRPr="00E225A7">
        <w:rPr>
          <w:rFonts w:ascii="Arial" w:hAnsi="Arial" w:cs="Arial"/>
        </w:rPr>
        <w:t xml:space="preserve"> </w:t>
      </w:r>
      <w:r w:rsidRPr="00E225A7">
        <w:rPr>
          <w:rFonts w:ascii="Arial" w:hAnsi="Arial" w:cs="Arial"/>
        </w:rPr>
        <w:t>Secretaría de Educación Pública</w:t>
      </w:r>
      <w:r>
        <w:rPr>
          <w:rFonts w:ascii="Arial" w:hAnsi="Arial" w:cs="Arial"/>
        </w:rPr>
        <w:t xml:space="preserve">, </w:t>
      </w:r>
      <w:r w:rsidRPr="00E225A7">
        <w:rPr>
          <w:rFonts w:ascii="Arial" w:hAnsi="Arial" w:cs="Arial"/>
        </w:rPr>
        <w:t>ISBN 970-9952-02-1</w:t>
      </w:r>
      <w:r>
        <w:rPr>
          <w:rFonts w:ascii="Arial" w:hAnsi="Arial" w:cs="Arial"/>
        </w:rPr>
        <w:t>.</w:t>
      </w:r>
    </w:p>
    <w:p w:rsidR="00E225A7" w:rsidRDefault="00E225A7" w:rsidP="00E225A7">
      <w:pPr>
        <w:pStyle w:val="Prrafodelista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E225A7" w:rsidRPr="00E225A7" w:rsidRDefault="00E225A7" w:rsidP="0080014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</w:rPr>
      </w:pPr>
      <w:r w:rsidRPr="00E225A7">
        <w:rPr>
          <w:rFonts w:ascii="Arial" w:hAnsi="Arial" w:cs="Arial"/>
        </w:rPr>
        <w:t>Sistema de Información Social,</w:t>
      </w:r>
      <w:r w:rsidRPr="00E225A7">
        <w:rPr>
          <w:rFonts w:ascii="Arial" w:hAnsi="Arial" w:cs="Arial"/>
          <w:i/>
        </w:rPr>
        <w:t xml:space="preserve"> </w:t>
      </w:r>
      <w:r w:rsidRPr="00E225A7">
        <w:rPr>
          <w:rFonts w:ascii="Arial" w:hAnsi="Arial" w:cs="Arial"/>
          <w:i/>
        </w:rPr>
        <w:t>HERRAMIENTA DE PLANEACIÓN SOCIAL</w:t>
      </w:r>
      <w:r w:rsidRPr="00E225A7">
        <w:rPr>
          <w:rFonts w:ascii="Arial" w:hAnsi="Arial" w:cs="Arial"/>
          <w:i/>
        </w:rPr>
        <w:t xml:space="preserve">, </w:t>
      </w:r>
      <w:r w:rsidRPr="00E225A7">
        <w:rPr>
          <w:rFonts w:ascii="Arial" w:hAnsi="Arial" w:cs="Arial"/>
        </w:rPr>
        <w:t>http://sisweb.sedesol.gob.mx/sisweb/</w:t>
      </w:r>
    </w:p>
    <w:sectPr w:rsidR="00E225A7" w:rsidRPr="00E225A7" w:rsidSect="00786910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C85" w:rsidRDefault="00896C85">
      <w:r>
        <w:separator/>
      </w:r>
    </w:p>
  </w:endnote>
  <w:endnote w:type="continuationSeparator" w:id="0">
    <w:p w:rsidR="00896C85" w:rsidRDefault="00896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50" w:type="dxa"/>
      <w:tblLook w:val="01E0" w:firstRow="1" w:lastRow="1" w:firstColumn="1" w:lastColumn="1" w:noHBand="0" w:noVBand="0"/>
    </w:tblPr>
    <w:tblGrid>
      <w:gridCol w:w="3350"/>
      <w:gridCol w:w="3350"/>
      <w:gridCol w:w="3350"/>
    </w:tblGrid>
    <w:tr w:rsidR="004408ED">
      <w:tc>
        <w:tcPr>
          <w:tcW w:w="3350" w:type="dxa"/>
        </w:tcPr>
        <w:p w:rsidR="004408ED" w:rsidRPr="007770DB" w:rsidRDefault="004408ED" w:rsidP="007770DB">
          <w:pPr>
            <w:spacing w:after="0" w:line="240" w:lineRule="auto"/>
            <w:jc w:val="center"/>
            <w:rPr>
              <w:sz w:val="18"/>
              <w:szCs w:val="18"/>
              <w:lang w:val="es-MX"/>
            </w:rPr>
          </w:pPr>
        </w:p>
      </w:tc>
      <w:tc>
        <w:tcPr>
          <w:tcW w:w="3350" w:type="dxa"/>
        </w:tcPr>
        <w:p w:rsidR="004408ED" w:rsidRPr="007770DB" w:rsidRDefault="004408ED" w:rsidP="007770DB">
          <w:pPr>
            <w:spacing w:after="0" w:line="240" w:lineRule="auto"/>
            <w:jc w:val="center"/>
            <w:rPr>
              <w:sz w:val="20"/>
              <w:szCs w:val="20"/>
              <w:lang w:val="es-MX"/>
            </w:rPr>
          </w:pPr>
        </w:p>
      </w:tc>
      <w:tc>
        <w:tcPr>
          <w:tcW w:w="3350" w:type="dxa"/>
        </w:tcPr>
        <w:p w:rsidR="004408ED" w:rsidRPr="007770DB" w:rsidRDefault="004408ED" w:rsidP="005B126B">
          <w:pPr>
            <w:spacing w:after="0" w:line="240" w:lineRule="auto"/>
            <w:rPr>
              <w:sz w:val="20"/>
              <w:szCs w:val="20"/>
              <w:lang w:val="es-MX"/>
            </w:rPr>
          </w:pPr>
        </w:p>
      </w:tc>
    </w:tr>
    <w:tr w:rsidR="004408ED" w:rsidTr="00972ABA">
      <w:tc>
        <w:tcPr>
          <w:tcW w:w="3350" w:type="dxa"/>
        </w:tcPr>
        <w:p w:rsidR="004408ED" w:rsidRDefault="004408ED">
          <w:pPr>
            <w:spacing w:after="0" w:line="240" w:lineRule="auto"/>
            <w:jc w:val="center"/>
            <w:rPr>
              <w:sz w:val="18"/>
              <w:szCs w:val="18"/>
              <w:lang w:val="es-MX"/>
            </w:rPr>
          </w:pPr>
        </w:p>
      </w:tc>
      <w:tc>
        <w:tcPr>
          <w:tcW w:w="3350" w:type="dxa"/>
        </w:tcPr>
        <w:p w:rsidR="004408ED" w:rsidRDefault="004408ED">
          <w:pPr>
            <w:spacing w:after="0" w:line="240" w:lineRule="auto"/>
            <w:jc w:val="center"/>
            <w:rPr>
              <w:sz w:val="20"/>
              <w:szCs w:val="20"/>
              <w:lang w:val="es-MX"/>
            </w:rPr>
          </w:pPr>
        </w:p>
      </w:tc>
      <w:tc>
        <w:tcPr>
          <w:tcW w:w="3350" w:type="dxa"/>
        </w:tcPr>
        <w:p w:rsidR="004408ED" w:rsidRDefault="004408ED">
          <w:pPr>
            <w:spacing w:after="0" w:line="240" w:lineRule="auto"/>
            <w:rPr>
              <w:sz w:val="20"/>
              <w:szCs w:val="20"/>
              <w:lang w:val="es-MX"/>
            </w:rPr>
          </w:pPr>
        </w:p>
      </w:tc>
    </w:tr>
  </w:tbl>
  <w:p w:rsidR="004408ED" w:rsidRDefault="00D87B72" w:rsidP="00D87B72">
    <w:pPr>
      <w:pStyle w:val="Piedepgina"/>
      <w:jc w:val="right"/>
    </w:pPr>
    <w:r>
      <w:t>Educación en Línea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50" w:type="dxa"/>
      <w:tblLook w:val="01E0" w:firstRow="1" w:lastRow="1" w:firstColumn="1" w:lastColumn="1" w:noHBand="0" w:noVBand="0"/>
    </w:tblPr>
    <w:tblGrid>
      <w:gridCol w:w="3350"/>
      <w:gridCol w:w="3350"/>
      <w:gridCol w:w="3350"/>
    </w:tblGrid>
    <w:tr w:rsidR="004408ED" w:rsidRPr="00652624" w:rsidTr="00D4099C">
      <w:tc>
        <w:tcPr>
          <w:tcW w:w="3350" w:type="dxa"/>
        </w:tcPr>
        <w:p w:rsidR="004408ED" w:rsidRPr="00E60D50" w:rsidRDefault="004408ED" w:rsidP="00033E06">
          <w:pPr>
            <w:spacing w:after="0" w:line="240" w:lineRule="auto"/>
            <w:jc w:val="center"/>
            <w:rPr>
              <w:sz w:val="16"/>
              <w:szCs w:val="18"/>
              <w:lang w:val="es-MX"/>
            </w:rPr>
          </w:pPr>
        </w:p>
      </w:tc>
      <w:tc>
        <w:tcPr>
          <w:tcW w:w="3350" w:type="dxa"/>
        </w:tcPr>
        <w:p w:rsidR="004408ED" w:rsidRPr="00652624" w:rsidRDefault="004408ED" w:rsidP="00033E06">
          <w:pPr>
            <w:spacing w:after="0" w:line="240" w:lineRule="auto"/>
            <w:jc w:val="center"/>
            <w:rPr>
              <w:sz w:val="20"/>
              <w:szCs w:val="20"/>
              <w:lang w:val="es-MX"/>
            </w:rPr>
          </w:pPr>
        </w:p>
      </w:tc>
      <w:tc>
        <w:tcPr>
          <w:tcW w:w="3350" w:type="dxa"/>
        </w:tcPr>
        <w:p w:rsidR="004408ED" w:rsidRPr="00652624" w:rsidRDefault="004408ED" w:rsidP="00033E06">
          <w:pPr>
            <w:spacing w:after="0" w:line="240" w:lineRule="auto"/>
            <w:rPr>
              <w:sz w:val="20"/>
              <w:szCs w:val="20"/>
              <w:lang w:val="es-MX"/>
            </w:rPr>
          </w:pPr>
        </w:p>
      </w:tc>
    </w:tr>
  </w:tbl>
  <w:p w:rsidR="004408ED" w:rsidRDefault="004408ED" w:rsidP="00033E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C85" w:rsidRDefault="00896C85">
      <w:r>
        <w:separator/>
      </w:r>
    </w:p>
  </w:footnote>
  <w:footnote w:type="continuationSeparator" w:id="0">
    <w:p w:rsidR="00896C85" w:rsidRDefault="00896C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8ED" w:rsidRDefault="004408ED" w:rsidP="007770DB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408ED" w:rsidRDefault="004408ED" w:rsidP="007770DB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2984"/>
      <w:gridCol w:w="4508"/>
      <w:gridCol w:w="1912"/>
    </w:tblGrid>
    <w:tr w:rsidR="000A674D" w:rsidRPr="007770DB" w:rsidTr="000A674D">
      <w:tc>
        <w:tcPr>
          <w:tcW w:w="2986" w:type="dxa"/>
        </w:tcPr>
        <w:p w:rsidR="000A674D" w:rsidRPr="007770DB" w:rsidRDefault="000A674D" w:rsidP="007770DB">
          <w:pPr>
            <w:pStyle w:val="Encabezado"/>
            <w:spacing w:after="0" w:line="240" w:lineRule="auto"/>
            <w:ind w:right="360"/>
            <w:jc w:val="center"/>
            <w:rPr>
              <w:sz w:val="20"/>
              <w:szCs w:val="20"/>
              <w:lang w:val="es-MX"/>
            </w:rPr>
          </w:pPr>
          <w:r>
            <w:object w:dxaOrig="3270" w:dyaOrig="9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0pt;height:35.25pt" o:ole="">
                <v:imagedata r:id="rId1" o:title=""/>
              </v:shape>
              <o:OLEObject Type="Embed" ProgID="PBrush" ShapeID="_x0000_i1025" DrawAspect="Content" ObjectID="_1492001067" r:id="rId2"/>
            </w:object>
          </w:r>
        </w:p>
      </w:tc>
      <w:tc>
        <w:tcPr>
          <w:tcW w:w="4915" w:type="dxa"/>
        </w:tcPr>
        <w:p w:rsidR="000A674D" w:rsidRDefault="000A674D" w:rsidP="000A674D">
          <w:pPr>
            <w:spacing w:line="240" w:lineRule="auto"/>
            <w:contextualSpacing/>
            <w:jc w:val="center"/>
            <w:rPr>
              <w:rFonts w:ascii="Arial" w:hAnsi="Arial" w:cs="Arial"/>
              <w:b/>
              <w:sz w:val="28"/>
              <w:szCs w:val="24"/>
            </w:rPr>
          </w:pPr>
          <w:r w:rsidRPr="002A2F07">
            <w:rPr>
              <w:rFonts w:ascii="Arial" w:hAnsi="Arial" w:cs="Arial"/>
              <w:b/>
              <w:sz w:val="28"/>
              <w:szCs w:val="24"/>
            </w:rPr>
            <w:t>MAESTRIA DE ADMINISTRACIÓN</w:t>
          </w:r>
        </w:p>
        <w:p w:rsidR="00793929" w:rsidRPr="002A2F07" w:rsidRDefault="00793929" w:rsidP="000A674D">
          <w:pPr>
            <w:spacing w:line="240" w:lineRule="auto"/>
            <w:contextualSpacing/>
            <w:jc w:val="center"/>
            <w:rPr>
              <w:rFonts w:ascii="Arial" w:hAnsi="Arial" w:cs="Arial"/>
              <w:b/>
              <w:sz w:val="28"/>
              <w:szCs w:val="24"/>
            </w:rPr>
          </w:pPr>
          <w:r>
            <w:rPr>
              <w:rFonts w:ascii="Arial" w:hAnsi="Arial" w:cs="Arial"/>
              <w:b/>
              <w:sz w:val="28"/>
              <w:szCs w:val="24"/>
            </w:rPr>
            <w:t>Y POLÍTICAS PÚBLICAS</w:t>
          </w:r>
        </w:p>
      </w:tc>
      <w:tc>
        <w:tcPr>
          <w:tcW w:w="2287" w:type="dxa"/>
        </w:tcPr>
        <w:p w:rsidR="000A674D" w:rsidRPr="007770DB" w:rsidRDefault="000A674D" w:rsidP="007770DB">
          <w:pPr>
            <w:pStyle w:val="Encabezado"/>
            <w:spacing w:after="0" w:line="240" w:lineRule="auto"/>
            <w:jc w:val="center"/>
            <w:rPr>
              <w:sz w:val="20"/>
              <w:szCs w:val="20"/>
              <w:lang w:val="es-MX"/>
            </w:rPr>
          </w:pPr>
        </w:p>
      </w:tc>
    </w:tr>
    <w:tr w:rsidR="000A674D" w:rsidRPr="007770DB" w:rsidTr="000A674D">
      <w:tc>
        <w:tcPr>
          <w:tcW w:w="2986" w:type="dxa"/>
        </w:tcPr>
        <w:p w:rsidR="000A674D" w:rsidRPr="007770DB" w:rsidRDefault="000A674D" w:rsidP="007770DB">
          <w:pPr>
            <w:pStyle w:val="Encabezado"/>
            <w:spacing w:after="0" w:line="240" w:lineRule="auto"/>
            <w:jc w:val="center"/>
            <w:rPr>
              <w:sz w:val="20"/>
              <w:szCs w:val="20"/>
              <w:lang w:val="es-MX"/>
            </w:rPr>
          </w:pPr>
        </w:p>
      </w:tc>
      <w:tc>
        <w:tcPr>
          <w:tcW w:w="4915" w:type="dxa"/>
        </w:tcPr>
        <w:p w:rsidR="000A674D" w:rsidRPr="002A2F07" w:rsidRDefault="000A674D" w:rsidP="00793929">
          <w:pPr>
            <w:spacing w:line="240" w:lineRule="auto"/>
            <w:contextualSpacing/>
            <w:rPr>
              <w:rFonts w:ascii="Arial" w:hAnsi="Arial" w:cs="Arial"/>
              <w:b/>
              <w:sz w:val="28"/>
              <w:szCs w:val="24"/>
            </w:rPr>
          </w:pPr>
        </w:p>
      </w:tc>
      <w:tc>
        <w:tcPr>
          <w:tcW w:w="2287" w:type="dxa"/>
        </w:tcPr>
        <w:p w:rsidR="000A674D" w:rsidRPr="007770DB" w:rsidRDefault="000A674D" w:rsidP="00847DC6">
          <w:pPr>
            <w:pStyle w:val="Encabezado"/>
            <w:spacing w:after="0" w:line="240" w:lineRule="auto"/>
            <w:jc w:val="center"/>
            <w:rPr>
              <w:sz w:val="20"/>
              <w:szCs w:val="20"/>
              <w:lang w:val="es-MX"/>
            </w:rPr>
          </w:pPr>
        </w:p>
      </w:tc>
    </w:tr>
  </w:tbl>
  <w:p w:rsidR="004408ED" w:rsidRPr="0025267A" w:rsidRDefault="004408ED" w:rsidP="007770DB">
    <w:pPr>
      <w:pStyle w:val="Encabezado"/>
      <w:spacing w:after="0" w:line="240" w:lineRule="auto"/>
      <w:jc w:val="center"/>
      <w:rPr>
        <w:lang w:val="es-MX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154" w:rsidRDefault="00783154">
    <w:pPr>
      <w:pStyle w:val="Encabezado"/>
    </w:pPr>
    <w:r w:rsidRPr="00783154"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2540</wp:posOffset>
          </wp:positionV>
          <wp:extent cx="2196000" cy="825480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6000" cy="825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C30BF"/>
    <w:multiLevelType w:val="hybridMultilevel"/>
    <w:tmpl w:val="8BB41206"/>
    <w:lvl w:ilvl="0" w:tplc="F034A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7F6DCF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7BE135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30831A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FDE116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33224A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D6B79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138625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D800DB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1E93C67"/>
    <w:multiLevelType w:val="hybridMultilevel"/>
    <w:tmpl w:val="02F6F9E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B6BBF"/>
    <w:multiLevelType w:val="multilevel"/>
    <w:tmpl w:val="8A3ED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1C5D92"/>
    <w:multiLevelType w:val="multilevel"/>
    <w:tmpl w:val="DE58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C3768E"/>
    <w:multiLevelType w:val="hybridMultilevel"/>
    <w:tmpl w:val="08A046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B321E7"/>
    <w:multiLevelType w:val="hybridMultilevel"/>
    <w:tmpl w:val="53EC126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2B67D7"/>
    <w:multiLevelType w:val="hybridMultilevel"/>
    <w:tmpl w:val="EAE29F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E8C440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A0"/>
    <w:rsid w:val="00012AF5"/>
    <w:rsid w:val="00016DE3"/>
    <w:rsid w:val="00032978"/>
    <w:rsid w:val="00033E06"/>
    <w:rsid w:val="00094BBB"/>
    <w:rsid w:val="00095ECF"/>
    <w:rsid w:val="000A674D"/>
    <w:rsid w:val="000D1245"/>
    <w:rsid w:val="000E78D9"/>
    <w:rsid w:val="00104792"/>
    <w:rsid w:val="0016385A"/>
    <w:rsid w:val="00182CAA"/>
    <w:rsid w:val="001F5FA8"/>
    <w:rsid w:val="00201CDD"/>
    <w:rsid w:val="00243385"/>
    <w:rsid w:val="00247786"/>
    <w:rsid w:val="0025046B"/>
    <w:rsid w:val="002C4192"/>
    <w:rsid w:val="002C736F"/>
    <w:rsid w:val="002E539B"/>
    <w:rsid w:val="003818C3"/>
    <w:rsid w:val="0038549A"/>
    <w:rsid w:val="003867E9"/>
    <w:rsid w:val="003A048E"/>
    <w:rsid w:val="003D30DC"/>
    <w:rsid w:val="003E1206"/>
    <w:rsid w:val="003F35C2"/>
    <w:rsid w:val="004408ED"/>
    <w:rsid w:val="0044727D"/>
    <w:rsid w:val="00453FBC"/>
    <w:rsid w:val="004B0054"/>
    <w:rsid w:val="004B70E0"/>
    <w:rsid w:val="004C27CF"/>
    <w:rsid w:val="004E32F9"/>
    <w:rsid w:val="004F2957"/>
    <w:rsid w:val="00524915"/>
    <w:rsid w:val="00525ABC"/>
    <w:rsid w:val="00537AF7"/>
    <w:rsid w:val="00590782"/>
    <w:rsid w:val="005B126B"/>
    <w:rsid w:val="005B2439"/>
    <w:rsid w:val="005B357F"/>
    <w:rsid w:val="005D326B"/>
    <w:rsid w:val="006171C6"/>
    <w:rsid w:val="006659C0"/>
    <w:rsid w:val="00706940"/>
    <w:rsid w:val="00727E5C"/>
    <w:rsid w:val="00763D4E"/>
    <w:rsid w:val="007770DB"/>
    <w:rsid w:val="00780C6E"/>
    <w:rsid w:val="00783154"/>
    <w:rsid w:val="00786910"/>
    <w:rsid w:val="00793929"/>
    <w:rsid w:val="007A02D0"/>
    <w:rsid w:val="007A41AF"/>
    <w:rsid w:val="007E0BF1"/>
    <w:rsid w:val="007E3EC6"/>
    <w:rsid w:val="0083099C"/>
    <w:rsid w:val="0083480F"/>
    <w:rsid w:val="00847DC6"/>
    <w:rsid w:val="0085215A"/>
    <w:rsid w:val="00860BBF"/>
    <w:rsid w:val="00885343"/>
    <w:rsid w:val="0089267B"/>
    <w:rsid w:val="00896C85"/>
    <w:rsid w:val="008A42B7"/>
    <w:rsid w:val="008D5EFC"/>
    <w:rsid w:val="009111EE"/>
    <w:rsid w:val="00911F57"/>
    <w:rsid w:val="009410A8"/>
    <w:rsid w:val="00942223"/>
    <w:rsid w:val="00972ABA"/>
    <w:rsid w:val="0097304E"/>
    <w:rsid w:val="00985776"/>
    <w:rsid w:val="00990263"/>
    <w:rsid w:val="009A7142"/>
    <w:rsid w:val="009B74A7"/>
    <w:rsid w:val="009D6872"/>
    <w:rsid w:val="00A04FCC"/>
    <w:rsid w:val="00A222BA"/>
    <w:rsid w:val="00A50CB0"/>
    <w:rsid w:val="00A567F3"/>
    <w:rsid w:val="00A93DA0"/>
    <w:rsid w:val="00A96AAE"/>
    <w:rsid w:val="00AA3449"/>
    <w:rsid w:val="00AE4E9D"/>
    <w:rsid w:val="00B62BCD"/>
    <w:rsid w:val="00B80389"/>
    <w:rsid w:val="00B87BE9"/>
    <w:rsid w:val="00BC4071"/>
    <w:rsid w:val="00BC6ED2"/>
    <w:rsid w:val="00C5759D"/>
    <w:rsid w:val="00C84CEB"/>
    <w:rsid w:val="00CA39A7"/>
    <w:rsid w:val="00CA677E"/>
    <w:rsid w:val="00CB2E36"/>
    <w:rsid w:val="00CE3FFA"/>
    <w:rsid w:val="00D22810"/>
    <w:rsid w:val="00D30E49"/>
    <w:rsid w:val="00D4099C"/>
    <w:rsid w:val="00D70059"/>
    <w:rsid w:val="00D87B72"/>
    <w:rsid w:val="00DB0BFF"/>
    <w:rsid w:val="00DF03A1"/>
    <w:rsid w:val="00DF6D81"/>
    <w:rsid w:val="00E07C11"/>
    <w:rsid w:val="00E16979"/>
    <w:rsid w:val="00E225A7"/>
    <w:rsid w:val="00E310D0"/>
    <w:rsid w:val="00E36C7E"/>
    <w:rsid w:val="00E45C4C"/>
    <w:rsid w:val="00E57CC6"/>
    <w:rsid w:val="00EC0697"/>
    <w:rsid w:val="00EE386C"/>
    <w:rsid w:val="00F00AA0"/>
    <w:rsid w:val="00F13130"/>
    <w:rsid w:val="00F32FD6"/>
    <w:rsid w:val="00F81D66"/>
    <w:rsid w:val="00FE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1BEBCD-84E0-4C79-AFF0-EA089E47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AA0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1">
    <w:name w:val="Epígrafe1"/>
    <w:basedOn w:val="Normal"/>
    <w:next w:val="Normal"/>
    <w:qFormat/>
    <w:rsid w:val="00F00AA0"/>
    <w:rPr>
      <w:b/>
      <w:bCs/>
      <w:sz w:val="20"/>
      <w:szCs w:val="20"/>
    </w:rPr>
  </w:style>
  <w:style w:type="character" w:styleId="Textoennegrita">
    <w:name w:val="Strong"/>
    <w:basedOn w:val="Fuentedeprrafopredeter"/>
    <w:qFormat/>
    <w:rsid w:val="00FC3C21"/>
    <w:rPr>
      <w:b/>
      <w:bCs/>
    </w:rPr>
  </w:style>
  <w:style w:type="paragraph" w:customStyle="1" w:styleId="contenido">
    <w:name w:val="contenido"/>
    <w:basedOn w:val="Normal"/>
    <w:rsid w:val="00FC3C21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18"/>
      <w:szCs w:val="18"/>
      <w:lang w:eastAsia="es-ES"/>
    </w:rPr>
  </w:style>
  <w:style w:type="paragraph" w:styleId="Encabezado">
    <w:name w:val="header"/>
    <w:basedOn w:val="Normal"/>
    <w:rsid w:val="00354D1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54D12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354D12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354D12"/>
  </w:style>
  <w:style w:type="paragraph" w:styleId="Textodeglobo">
    <w:name w:val="Balloon Text"/>
    <w:basedOn w:val="Normal"/>
    <w:link w:val="TextodegloboCar"/>
    <w:rsid w:val="00DB0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B0BFF"/>
    <w:rPr>
      <w:rFonts w:ascii="Tahoma" w:eastAsia="Calibri" w:hAnsi="Tahoma" w:cs="Tahoma"/>
      <w:sz w:val="16"/>
      <w:szCs w:val="16"/>
      <w:lang w:eastAsia="en-US"/>
    </w:rPr>
  </w:style>
  <w:style w:type="paragraph" w:customStyle="1" w:styleId="Default">
    <w:name w:val="Default"/>
    <w:rsid w:val="000A674D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MX" w:eastAsia="en-US"/>
    </w:rPr>
  </w:style>
  <w:style w:type="paragraph" w:styleId="NormalWeb">
    <w:name w:val="Normal (Web)"/>
    <w:basedOn w:val="Normal"/>
    <w:uiPriority w:val="99"/>
    <w:unhideWhenUsed/>
    <w:rsid w:val="00525A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customStyle="1" w:styleId="apple-converted-space">
    <w:name w:val="apple-converted-space"/>
    <w:basedOn w:val="Fuentedeprrafopredeter"/>
    <w:rsid w:val="00525ABC"/>
  </w:style>
  <w:style w:type="character" w:styleId="nfasis">
    <w:name w:val="Emphasis"/>
    <w:basedOn w:val="Fuentedeprrafopredeter"/>
    <w:uiPriority w:val="20"/>
    <w:qFormat/>
    <w:rsid w:val="00847DC6"/>
    <w:rPr>
      <w:i/>
      <w:iCs/>
    </w:rPr>
  </w:style>
  <w:style w:type="paragraph" w:styleId="Prrafodelista">
    <w:name w:val="List Paragraph"/>
    <w:basedOn w:val="Normal"/>
    <w:uiPriority w:val="34"/>
    <w:qFormat/>
    <w:rsid w:val="00847DC6"/>
    <w:pPr>
      <w:ind w:left="720"/>
      <w:contextualSpacing/>
    </w:pPr>
  </w:style>
  <w:style w:type="paragraph" w:styleId="Textonotapie">
    <w:name w:val="footnote text"/>
    <w:basedOn w:val="Normal"/>
    <w:link w:val="TextonotapieCar"/>
    <w:rsid w:val="00B62B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B62BCD"/>
    <w:rPr>
      <w:rFonts w:ascii="Calibri" w:eastAsia="Calibri" w:hAnsi="Calibri"/>
      <w:lang w:eastAsia="en-US"/>
    </w:rPr>
  </w:style>
  <w:style w:type="character" w:styleId="Refdenotaalpie">
    <w:name w:val="footnote reference"/>
    <w:basedOn w:val="Fuentedeprrafopredeter"/>
    <w:rsid w:val="00B62BCD"/>
    <w:rPr>
      <w:vertAlign w:val="superscript"/>
    </w:rPr>
  </w:style>
  <w:style w:type="character" w:customStyle="1" w:styleId="hps">
    <w:name w:val="hps"/>
    <w:basedOn w:val="Fuentedeprrafopredeter"/>
    <w:rsid w:val="000E78D9"/>
  </w:style>
  <w:style w:type="character" w:styleId="Hipervnculo">
    <w:name w:val="Hyperlink"/>
    <w:basedOn w:val="Fuentedeprrafopredeter"/>
    <w:unhideWhenUsed/>
    <w:rsid w:val="009111EE"/>
    <w:rPr>
      <w:color w:val="0563C1" w:themeColor="hyperlink"/>
      <w:u w:val="single"/>
    </w:rPr>
  </w:style>
  <w:style w:type="character" w:customStyle="1" w:styleId="gt-community-promo-text">
    <w:name w:val="gt-community-promo-text"/>
    <w:basedOn w:val="Fuentedeprrafopredeter"/>
    <w:rsid w:val="00453FBC"/>
  </w:style>
  <w:style w:type="paragraph" w:customStyle="1" w:styleId="ms-rteelement-p">
    <w:name w:val="ms-rteelement-p"/>
    <w:basedOn w:val="Normal"/>
    <w:rsid w:val="001F5FA8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2163"/>
      <w:sz w:val="24"/>
      <w:szCs w:val="24"/>
      <w:lang w:val="es-MX" w:eastAsia="es-MX"/>
    </w:rPr>
  </w:style>
  <w:style w:type="paragraph" w:customStyle="1" w:styleId="s4-wptoptable1">
    <w:name w:val="s4-wptoptable1"/>
    <w:basedOn w:val="Normal"/>
    <w:rsid w:val="001F5F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1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0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63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42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46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0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27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19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3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957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20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570434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15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6395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999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8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9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9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7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8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9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1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09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23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64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389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447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318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003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0229679">
                                                                              <w:marLeft w:val="150"/>
                                                                              <w:marRight w:val="150"/>
                                                                              <w:marTop w:val="15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4112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5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2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4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099862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47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25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8940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39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936269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522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91478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42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84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3601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9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4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eval.gob.m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CBEDE1F9-CA25-4F66-8AFC-F3CE0078F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823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Logo de la organización</vt:lpstr>
    </vt:vector>
  </TitlesOfParts>
  <Company>Gobierno del Estado de Ags</Company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Logo de la organización</dc:title>
  <dc:subject/>
  <dc:creator>yolanda.deleon</dc:creator>
  <cp:keywords/>
  <cp:lastModifiedBy>Cesar Alejandro Villegas Espindola</cp:lastModifiedBy>
  <cp:revision>2</cp:revision>
  <cp:lastPrinted>2014-11-04T03:00:00Z</cp:lastPrinted>
  <dcterms:created xsi:type="dcterms:W3CDTF">2015-05-01T20:58:00Z</dcterms:created>
  <dcterms:modified xsi:type="dcterms:W3CDTF">2015-05-01T20:58:00Z</dcterms:modified>
</cp:coreProperties>
</file>