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1B" w:rsidRPr="00450CB4" w:rsidRDefault="00C6445D">
      <w:pPr>
        <w:rPr>
          <w:rFonts w:ascii="Arial" w:hAnsi="Arial" w:cs="Arial"/>
          <w:b/>
          <w:sz w:val="24"/>
        </w:rPr>
      </w:pPr>
      <w:r w:rsidRPr="00C6445D"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D366D1" wp14:editId="7A1C429A">
                <wp:simplePos x="0" y="0"/>
                <wp:positionH relativeFrom="column">
                  <wp:posOffset>5558155</wp:posOffset>
                </wp:positionH>
                <wp:positionV relativeFrom="paragraph">
                  <wp:posOffset>-946785</wp:posOffset>
                </wp:positionV>
                <wp:extent cx="2374265" cy="1403985"/>
                <wp:effectExtent l="0" t="0" r="11430" b="15240"/>
                <wp:wrapThrough wrapText="bothSides">
                  <wp:wrapPolygon edited="0">
                    <wp:start x="0" y="0"/>
                    <wp:lineTo x="0" y="21490"/>
                    <wp:lineTo x="21550" y="21490"/>
                    <wp:lineTo x="21550" y="0"/>
                    <wp:lineTo x="0" y="0"/>
                  </wp:wrapPolygon>
                </wp:wrapThrough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445D" w:rsidRPr="00C6445D" w:rsidRDefault="00C6445D">
                            <w:pPr>
                              <w:rPr>
                                <w:b/>
                              </w:rPr>
                            </w:pPr>
                            <w:r w:rsidRPr="00C6445D">
                              <w:rPr>
                                <w:b/>
                              </w:rPr>
                              <w:t>ELABORADO POR:</w:t>
                            </w:r>
                          </w:p>
                          <w:p w:rsidR="00C6445D" w:rsidRPr="00C6445D" w:rsidRDefault="00C6445D">
                            <w:pPr>
                              <w:rPr>
                                <w:b/>
                              </w:rPr>
                            </w:pPr>
                            <w:r w:rsidRPr="00C6445D">
                              <w:rPr>
                                <w:b/>
                              </w:rPr>
                              <w:t>OLGA VIRIDIANA CARREÑO PEREZ.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7.65pt;margin-top:-74.55pt;width:186.95pt;height:110.55pt;z-index:-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">
                <v:textbox style="mso-fit-shape-to-text:t">
                  <w:txbxContent>
                    <w:p w:rsidR="00C6445D" w:rsidRPr="00C6445D" w:rsidRDefault="00C6445D">
                      <w:pPr>
                        <w:rPr>
                          <w:b/>
                        </w:rPr>
                      </w:pPr>
                      <w:r w:rsidRPr="00C6445D">
                        <w:rPr>
                          <w:b/>
                        </w:rPr>
                        <w:t>ELABORADO POR:</w:t>
                      </w:r>
                    </w:p>
                    <w:p w:rsidR="00C6445D" w:rsidRPr="00C6445D" w:rsidRDefault="00C6445D">
                      <w:pPr>
                        <w:rPr>
                          <w:b/>
                        </w:rPr>
                      </w:pPr>
                      <w:r w:rsidRPr="00C6445D">
                        <w:rPr>
                          <w:b/>
                        </w:rPr>
                        <w:t>OLGA VIRIDIANA CARREÑO PEREZ.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50CB4" w:rsidRPr="00450CB4">
        <w:rPr>
          <w:rFonts w:ascii="Arial" w:hAnsi="Arial" w:cs="Arial"/>
          <w:b/>
          <w:sz w:val="24"/>
        </w:rPr>
        <w:t>CUADRO COMPARATIVO DE LA DECLARACIÓN DE ASUNCIÓN</w:t>
      </w:r>
      <w:r>
        <w:rPr>
          <w:rFonts w:ascii="Arial" w:hAnsi="Arial" w:cs="Arial"/>
          <w:b/>
          <w:sz w:val="24"/>
        </w:rPr>
        <w:t xml:space="preserve">         </w:t>
      </w:r>
    </w:p>
    <w:tbl>
      <w:tblPr>
        <w:tblStyle w:val="Sombreadomedio1-nfasis6"/>
        <w:tblW w:w="14034" w:type="dxa"/>
        <w:tblInd w:w="-318" w:type="dxa"/>
        <w:tblLook w:val="04A0" w:firstRow="1" w:lastRow="0" w:firstColumn="1" w:lastColumn="0" w:noHBand="0" w:noVBand="1"/>
      </w:tblPr>
      <w:tblGrid>
        <w:gridCol w:w="3790"/>
        <w:gridCol w:w="4213"/>
        <w:gridCol w:w="78"/>
        <w:gridCol w:w="205"/>
        <w:gridCol w:w="78"/>
        <w:gridCol w:w="206"/>
        <w:gridCol w:w="78"/>
        <w:gridCol w:w="5386"/>
      </w:tblGrid>
      <w:tr w:rsidR="0094091B" w:rsidTr="002F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450CB4" w:rsidRDefault="00450CB4" w:rsidP="00450CB4">
            <w:pPr>
              <w:jc w:val="center"/>
              <w:rPr>
                <w:rFonts w:ascii="Arial" w:hAnsi="Arial" w:cs="Arial"/>
                <w:color w:val="auto"/>
                <w:sz w:val="28"/>
              </w:rPr>
            </w:pPr>
          </w:p>
          <w:p w:rsidR="0094091B" w:rsidRPr="0094091B" w:rsidRDefault="0094091B" w:rsidP="00450CB4">
            <w:pPr>
              <w:jc w:val="center"/>
              <w:rPr>
                <w:rFonts w:ascii="Arial" w:hAnsi="Arial" w:cs="Arial"/>
                <w:b w:val="0"/>
              </w:rPr>
            </w:pPr>
            <w:r w:rsidRPr="00450CB4">
              <w:rPr>
                <w:rFonts w:ascii="Arial" w:hAnsi="Arial" w:cs="Arial"/>
                <w:color w:val="auto"/>
                <w:sz w:val="28"/>
              </w:rPr>
              <w:t>Declaratoria</w:t>
            </w: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450CB4" w:rsidRDefault="00450CB4" w:rsidP="00450C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8"/>
              </w:rPr>
            </w:pPr>
          </w:p>
          <w:p w:rsidR="0094091B" w:rsidRPr="00450CB4" w:rsidRDefault="00450CB4" w:rsidP="00450C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50CB4">
              <w:rPr>
                <w:rFonts w:ascii="Arial" w:hAnsi="Arial" w:cs="Arial"/>
                <w:color w:val="auto"/>
                <w:sz w:val="28"/>
              </w:rPr>
              <w:t xml:space="preserve">Administración </w:t>
            </w:r>
            <w:r>
              <w:rPr>
                <w:rFonts w:ascii="Arial" w:hAnsi="Arial" w:cs="Arial"/>
                <w:color w:val="auto"/>
                <w:sz w:val="28"/>
              </w:rPr>
              <w:t>pública, (</w:t>
            </w:r>
            <w:r w:rsidRPr="00450CB4">
              <w:rPr>
                <w:rFonts w:ascii="Arial" w:hAnsi="Arial" w:cs="Arial"/>
                <w:color w:val="auto"/>
                <w:sz w:val="28"/>
              </w:rPr>
              <w:t>Es</w:t>
            </w:r>
            <w:r>
              <w:rPr>
                <w:rFonts w:ascii="Arial" w:hAnsi="Arial" w:cs="Arial"/>
                <w:color w:val="auto"/>
                <w:sz w:val="28"/>
              </w:rPr>
              <w:t>tatal o Municipal) ¿aplica</w:t>
            </w:r>
            <w:r w:rsidRPr="00450CB4">
              <w:rPr>
                <w:rFonts w:ascii="Arial" w:hAnsi="Arial" w:cs="Arial"/>
                <w:color w:val="auto"/>
                <w:sz w:val="28"/>
              </w:rPr>
              <w:t>?</w:t>
            </w: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Pr="009E29B6" w:rsidRDefault="0094091B" w:rsidP="00F024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5386" w:type="dxa"/>
          </w:tcPr>
          <w:p w:rsidR="00450CB4" w:rsidRDefault="00450C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222"/>
                <w:sz w:val="28"/>
                <w:szCs w:val="18"/>
                <w:lang w:eastAsia="es-MX"/>
              </w:rPr>
            </w:pPr>
          </w:p>
          <w:p w:rsidR="0094091B" w:rsidRPr="00450CB4" w:rsidRDefault="0094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CB4">
              <w:rPr>
                <w:rFonts w:ascii="Arial" w:eastAsia="Times New Roman" w:hAnsi="Arial" w:cs="Arial"/>
                <w:color w:val="222222"/>
                <w:sz w:val="28"/>
                <w:szCs w:val="18"/>
                <w:lang w:eastAsia="es-MX"/>
              </w:rPr>
              <w:t>Comentarios u observaciones</w:t>
            </w:r>
          </w:p>
        </w:tc>
      </w:tr>
      <w:tr w:rsidR="0094091B" w:rsidTr="002F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 w:rsidP="00531C97">
            <w:pPr>
              <w:jc w:val="both"/>
              <w:rPr>
                <w:rFonts w:ascii="Arial" w:hAnsi="Arial" w:cs="Arial"/>
                <w:sz w:val="24"/>
              </w:rPr>
            </w:pPr>
          </w:p>
          <w:p w:rsidR="0094091B" w:rsidRPr="0094091B" w:rsidRDefault="0094091B" w:rsidP="0094091B">
            <w:pPr>
              <w:jc w:val="both"/>
              <w:rPr>
                <w:rFonts w:ascii="Arial" w:hAnsi="Arial" w:cs="Arial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 xml:space="preserve">1. La Rendición de Cuentas es la base para un buen gobierno. </w:t>
            </w: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79067C" w:rsidRDefault="0079067C" w:rsidP="00450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:rsidR="0079067C" w:rsidRDefault="0079067C" w:rsidP="00450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:rsidR="00450CB4" w:rsidRPr="00450CB4" w:rsidRDefault="00450CB4" w:rsidP="00450C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50CB4">
              <w:rPr>
                <w:rFonts w:ascii="Arial" w:hAnsi="Arial" w:cs="Arial"/>
                <w:b/>
                <w:bCs/>
              </w:rPr>
              <w:t>APLICA</w:t>
            </w: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50CB4" w:rsidRPr="0079067C" w:rsidRDefault="00555876" w:rsidP="007906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 xml:space="preserve"> Pero e</w:t>
            </w:r>
            <w:r w:rsidR="00450CB4" w:rsidRPr="0079067C">
              <w:rPr>
                <w:rFonts w:ascii="Arial" w:hAnsi="Arial" w:cs="Arial"/>
                <w:sz w:val="24"/>
              </w:rPr>
              <w:t xml:space="preserve">s necesario que la rendición de cuentas se extienda y arraiguen en los gobiernos municipales, para ello es necesario la creación de mecanismos necesarios para una Administración honesta, transparente que divulgue activamente la información y que </w:t>
            </w:r>
            <w:r w:rsidR="0079067C" w:rsidRPr="0079067C">
              <w:rPr>
                <w:rFonts w:ascii="Arial" w:hAnsi="Arial" w:cs="Arial"/>
                <w:sz w:val="24"/>
              </w:rPr>
              <w:t>esté</w:t>
            </w:r>
            <w:r w:rsidR="00450CB4" w:rsidRPr="0079067C">
              <w:rPr>
                <w:rFonts w:ascii="Arial" w:hAnsi="Arial" w:cs="Arial"/>
                <w:sz w:val="24"/>
              </w:rPr>
              <w:t xml:space="preserve"> preparada para rendir cuentas sobre sus acciones  y el ejercicio de los recursos públicos</w:t>
            </w:r>
            <w:r w:rsidR="00450CB4" w:rsidRPr="0079067C">
              <w:rPr>
                <w:rFonts w:ascii="Arial" w:hAnsi="Arial" w:cs="Arial"/>
              </w:rPr>
              <w:t>.</w:t>
            </w:r>
          </w:p>
        </w:tc>
      </w:tr>
      <w:tr w:rsidR="00450CB4" w:rsidTr="002F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 w:rsidP="00531C97">
            <w:pPr>
              <w:jc w:val="both"/>
              <w:rPr>
                <w:rFonts w:ascii="Arial" w:hAnsi="Arial" w:cs="Arial"/>
                <w:sz w:val="24"/>
              </w:rPr>
            </w:pPr>
          </w:p>
          <w:p w:rsidR="0094091B" w:rsidRPr="0094091B" w:rsidRDefault="0094091B" w:rsidP="0094091B">
            <w:pPr>
              <w:jc w:val="both"/>
              <w:rPr>
                <w:rFonts w:ascii="Arial" w:hAnsi="Arial" w:cs="Arial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 xml:space="preserve">2. Obligación de informar y justificar. </w:t>
            </w: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555876" w:rsidRDefault="00555876" w:rsidP="00C40F0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555876" w:rsidRDefault="00C40F0A" w:rsidP="005558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APLICA</w:t>
            </w:r>
          </w:p>
          <w:p w:rsidR="00555876" w:rsidRDefault="00555876" w:rsidP="005558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C40F0A" w:rsidRDefault="00C40F0A" w:rsidP="005558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LEY DE RESPONSABILIDADES DE LOS SERVIDORES PÚBLICOS DEL ESTADO DE CHIAPAS.</w:t>
            </w: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94091B" w:rsidRPr="0057038C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57038C" w:rsidRPr="0057038C" w:rsidRDefault="0057038C" w:rsidP="0057038C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7038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artículo 2o.- </w:t>
            </w:r>
            <w:r w:rsidRPr="0057038C">
              <w:rPr>
                <w:rFonts w:ascii="Arial" w:hAnsi="Arial" w:cs="Arial"/>
                <w:sz w:val="24"/>
                <w:szCs w:val="24"/>
              </w:rPr>
              <w:t>son sujetos de esta ley, toda persona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38C">
              <w:rPr>
                <w:rFonts w:ascii="Arial" w:hAnsi="Arial" w:cs="Arial"/>
                <w:sz w:val="24"/>
                <w:szCs w:val="24"/>
              </w:rPr>
              <w:t>desempeñe un empleo, cargo o comisión, de cualquier naturaleza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57038C">
              <w:rPr>
                <w:rFonts w:ascii="Arial" w:hAnsi="Arial" w:cs="Arial"/>
                <w:sz w:val="24"/>
                <w:szCs w:val="24"/>
              </w:rPr>
              <w:t>en la administración pública estatal o municipal, en el poder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57038C">
              <w:rPr>
                <w:rFonts w:ascii="Arial" w:hAnsi="Arial" w:cs="Arial"/>
                <w:sz w:val="24"/>
                <w:szCs w:val="24"/>
              </w:rPr>
              <w:t>legislativo y en el poder judicial del estado, así como los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38C">
              <w:rPr>
                <w:rFonts w:ascii="Arial" w:hAnsi="Arial" w:cs="Arial"/>
                <w:sz w:val="24"/>
                <w:szCs w:val="24"/>
              </w:rPr>
              <w:t>servidores de los organismos electorales del estado; y todas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38C">
              <w:rPr>
                <w:rFonts w:ascii="Arial" w:hAnsi="Arial" w:cs="Arial"/>
                <w:sz w:val="24"/>
                <w:szCs w:val="24"/>
              </w:rPr>
              <w:t xml:space="preserve">aquellas </w:t>
            </w:r>
            <w:r>
              <w:rPr>
                <w:rFonts w:ascii="Arial" w:hAnsi="Arial" w:cs="Arial"/>
                <w:sz w:val="24"/>
                <w:szCs w:val="24"/>
              </w:rPr>
              <w:t xml:space="preserve">que manejen o apliquen recursos </w:t>
            </w:r>
            <w:r w:rsidRPr="0057038C">
              <w:rPr>
                <w:rFonts w:ascii="Arial" w:hAnsi="Arial" w:cs="Arial"/>
                <w:sz w:val="24"/>
                <w:szCs w:val="24"/>
              </w:rPr>
              <w:t>económicos estatales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038C">
              <w:rPr>
                <w:rFonts w:ascii="Arial" w:hAnsi="Arial" w:cs="Arial"/>
                <w:sz w:val="24"/>
                <w:szCs w:val="24"/>
              </w:rPr>
              <w:t>y municipales.</w:t>
            </w:r>
          </w:p>
        </w:tc>
      </w:tr>
      <w:tr w:rsidR="0094091B" w:rsidTr="002F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  <w:p w:rsidR="0094091B" w:rsidRPr="0094091B" w:rsidRDefault="0094091B" w:rsidP="0094091B">
            <w:pPr>
              <w:jc w:val="both"/>
              <w:rPr>
                <w:rFonts w:ascii="Arial" w:hAnsi="Arial" w:cs="Arial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 xml:space="preserve">3. Integralidad del sistema de rendición de cuentas. </w:t>
            </w: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C6445D" w:rsidRPr="00C6445D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C6445D">
              <w:rPr>
                <w:rFonts w:ascii="Arial" w:hAnsi="Arial" w:cs="Arial"/>
                <w:b/>
                <w:bCs/>
                <w:sz w:val="24"/>
              </w:rPr>
              <w:t>APLICA</w:t>
            </w:r>
          </w:p>
          <w:p w:rsidR="00C6445D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94091B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C6445D">
              <w:rPr>
                <w:rFonts w:ascii="Arial" w:hAnsi="Arial" w:cs="Arial"/>
                <w:b/>
                <w:bCs/>
                <w:sz w:val="24"/>
              </w:rPr>
              <w:t>LOS SERVIDORES PÚBLICOS, LOS ORGANOS DE CONTROL INTERNO Y</w:t>
            </w:r>
            <w:r>
              <w:rPr>
                <w:rFonts w:ascii="Arial" w:hAnsi="Arial" w:cs="Arial"/>
                <w:b/>
                <w:bCs/>
                <w:sz w:val="24"/>
              </w:rPr>
              <w:t xml:space="preserve"> EXTERNOS.</w:t>
            </w:r>
          </w:p>
          <w:p w:rsidR="00C6445D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C6445D" w:rsidRPr="00C6445D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C6445D" w:rsidRDefault="00C6445D" w:rsidP="00C644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94091B" w:rsidRDefault="0066249C" w:rsidP="00C644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 w:rsidRPr="00C6445D">
              <w:rPr>
                <w:rFonts w:ascii="Arial" w:hAnsi="Arial" w:cs="Arial"/>
                <w:sz w:val="24"/>
              </w:rPr>
              <w:t>El sistema de rendición de c</w:t>
            </w:r>
            <w:r w:rsidRPr="00C6445D">
              <w:rPr>
                <w:rFonts w:ascii="Arial" w:hAnsi="Arial" w:cs="Arial"/>
                <w:sz w:val="24"/>
              </w:rPr>
              <w:t xml:space="preserve">uentas está constituido por una </w:t>
            </w:r>
            <w:r w:rsidRPr="00C6445D">
              <w:rPr>
                <w:rFonts w:ascii="Arial" w:hAnsi="Arial" w:cs="Arial"/>
                <w:sz w:val="24"/>
              </w:rPr>
              <w:t>diversidad de actores sociales qu</w:t>
            </w:r>
            <w:r w:rsidRPr="00C6445D">
              <w:rPr>
                <w:rFonts w:ascii="Arial" w:hAnsi="Arial" w:cs="Arial"/>
                <w:sz w:val="24"/>
              </w:rPr>
              <w:t xml:space="preserve">e interactúan tanto en el plan </w:t>
            </w:r>
            <w:r w:rsidRPr="00C6445D">
              <w:rPr>
                <w:rFonts w:ascii="Arial" w:hAnsi="Arial" w:cs="Arial"/>
                <w:sz w:val="24"/>
              </w:rPr>
              <w:t>interinstitucional como con la sociedad civil</w:t>
            </w:r>
            <w:r>
              <w:t>.</w:t>
            </w:r>
          </w:p>
        </w:tc>
      </w:tr>
      <w:tr w:rsidR="00450CB4" w:rsidTr="002F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 w:rsidP="00BC5FEA">
            <w:pPr>
              <w:jc w:val="both"/>
              <w:rPr>
                <w:rFonts w:ascii="Arial" w:hAnsi="Arial" w:cs="Arial"/>
                <w:sz w:val="24"/>
              </w:rPr>
            </w:pPr>
          </w:p>
          <w:p w:rsidR="0094091B" w:rsidRPr="0094091B" w:rsidRDefault="0094091B" w:rsidP="00BC5FEA">
            <w:pPr>
              <w:jc w:val="both"/>
              <w:rPr>
                <w:rFonts w:ascii="Arial" w:hAnsi="Arial" w:cs="Arial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 xml:space="preserve">4. Transparencia de la información. </w:t>
            </w:r>
          </w:p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94091B" w:rsidRDefault="0079067C" w:rsidP="008C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APLICA</w:t>
            </w:r>
          </w:p>
          <w:p w:rsidR="00555876" w:rsidRPr="00555876" w:rsidRDefault="00555876" w:rsidP="008C3A1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79067C" w:rsidRDefault="008C3A11" w:rsidP="0066249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LEY QUE GARANTIZA LA TRANSPARENCIA Y EL DERECHO A LA INFORMACIÓN PÚBLICA PARA EL ESTADO DE CHIAPAS.</w:t>
            </w: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 w:rsidP="002F66A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94091B" w:rsidRDefault="002F66A0" w:rsidP="002F66A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66A0">
              <w:rPr>
                <w:b/>
              </w:rPr>
              <w:t>Artículo 1.-</w:t>
            </w:r>
            <w:r>
              <w:t xml:space="preserve"> La presente Ley es de orden público e in</w:t>
            </w:r>
            <w:r>
              <w:t xml:space="preserve">terés social y tiene por objeto  </w:t>
            </w:r>
            <w:r>
              <w:t>garantizar plenamente la transparencia de</w:t>
            </w:r>
            <w:r>
              <w:t xml:space="preserve">l servicio público y el derecho  fundamental de </w:t>
            </w:r>
            <w:r>
              <w:t>toda persona al acceso a la información pública y a la prot</w:t>
            </w:r>
            <w:r>
              <w:t xml:space="preserve">ección de sus datos personales,  </w:t>
            </w:r>
            <w:r>
              <w:t>en el Estado de Chiapas.</w:t>
            </w:r>
          </w:p>
          <w:p w:rsidR="002F66A0" w:rsidRDefault="002F66A0" w:rsidP="002F66A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</w:p>
          <w:p w:rsidR="002F66A0" w:rsidRDefault="002F66A0" w:rsidP="002F66A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F66A0">
              <w:rPr>
                <w:b/>
              </w:rPr>
              <w:t>Artículo</w:t>
            </w:r>
            <w:r w:rsidRPr="002F66A0">
              <w:rPr>
                <w:b/>
              </w:rPr>
              <w:t xml:space="preserve"> 2.-</w:t>
            </w:r>
            <w:r>
              <w:t xml:space="preserve"> Están obligados al cumplimiento de la pre</w:t>
            </w:r>
            <w:r>
              <w:t xml:space="preserve">sente Ley, cualquier autoridad, </w:t>
            </w:r>
            <w:r>
              <w:t>entidad, órgano u organismo que forme parte de a</w:t>
            </w:r>
            <w:r>
              <w:t xml:space="preserve">lguno de los Poderes Ejecutivo, </w:t>
            </w:r>
            <w:r>
              <w:t>Legislativo y Judicial del Estado, de los municipios</w:t>
            </w:r>
            <w:r>
              <w:t xml:space="preserve">, y órganos autónomos, partido  </w:t>
            </w:r>
            <w:r>
              <w:t>políticos, fideicomisos y fondos públicos, así como de cu</w:t>
            </w:r>
            <w:r>
              <w:t xml:space="preserve">alquier persona física, moral o </w:t>
            </w:r>
            <w:r>
              <w:t xml:space="preserve">sindicatos que reciba y ejerza recursos públicos o realice </w:t>
            </w:r>
            <w:r>
              <w:t xml:space="preserve">actos de autoridad en el ámbito </w:t>
            </w:r>
            <w:r>
              <w:t>estatal, con excepción de los asuntos jurisdiccionales.</w:t>
            </w:r>
          </w:p>
        </w:tc>
      </w:tr>
      <w:tr w:rsidR="0094091B" w:rsidTr="002F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  <w:p w:rsidR="0094091B" w:rsidRPr="0094091B" w:rsidRDefault="00310071" w:rsidP="0094091B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 Sanción del incumplimiento.</w:t>
            </w: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94091B" w:rsidRDefault="008C3A11" w:rsidP="008C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APLICA</w:t>
            </w:r>
          </w:p>
          <w:p w:rsidR="00555876" w:rsidRPr="00555876" w:rsidRDefault="00555876" w:rsidP="008C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8C3A11" w:rsidRDefault="008C3A11" w:rsidP="008C3A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ORGANO DE FISCALIZACIÓN SUPERIOR DEL  CONGRESO ESTADO DE CHIAPAS (OFSCE)</w:t>
            </w: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94091B" w:rsidRPr="00E50EF8" w:rsidRDefault="008C3A11" w:rsidP="00E50E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50EF8">
              <w:rPr>
                <w:rFonts w:ascii="Arial" w:hAnsi="Arial" w:cs="Arial"/>
                <w:sz w:val="24"/>
              </w:rPr>
              <w:t xml:space="preserve">Este órgano tiene dentro de sus </w:t>
            </w:r>
            <w:r w:rsidR="00E50EF8" w:rsidRPr="00E50EF8">
              <w:rPr>
                <w:rFonts w:ascii="Arial" w:hAnsi="Arial" w:cs="Arial"/>
                <w:sz w:val="24"/>
              </w:rPr>
              <w:t>atribuciones,</w:t>
            </w:r>
            <w:r w:rsidRPr="00E50EF8">
              <w:rPr>
                <w:rFonts w:ascii="Arial" w:hAnsi="Arial" w:cs="Arial"/>
                <w:sz w:val="24"/>
              </w:rPr>
              <w:t xml:space="preserve"> dar seguimiento  al proceso de solventación del pliego de observaciones señalado por el artículo 43 de la Ley de Fiscalización, donde el personal responsable</w:t>
            </w:r>
            <w:r w:rsidR="00E50EF8" w:rsidRPr="00E50EF8">
              <w:rPr>
                <w:rFonts w:ascii="Arial" w:hAnsi="Arial" w:cs="Arial"/>
                <w:sz w:val="24"/>
              </w:rPr>
              <w:t xml:space="preserve"> deberá tener todos los elementos que facilite al desarrollo de su trabajo de solventación de las auditorías practicadas, así como identificar la situación que guarda cada ente y sus resultados.</w:t>
            </w:r>
          </w:p>
        </w:tc>
      </w:tr>
      <w:tr w:rsidR="00450CB4" w:rsidTr="002719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  <w:p w:rsidR="0094091B" w:rsidRPr="0094091B" w:rsidRDefault="0094091B" w:rsidP="0094091B">
            <w:pPr>
              <w:jc w:val="both"/>
              <w:rPr>
                <w:rFonts w:ascii="Arial" w:hAnsi="Arial" w:cs="Arial"/>
                <w:b w:val="0"/>
                <w:bCs w:val="0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 xml:space="preserve">6. Participación ciudadana activa. </w:t>
            </w:r>
          </w:p>
          <w:p w:rsidR="0094091B" w:rsidRPr="0094091B" w:rsidRDefault="0094091B" w:rsidP="008674A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213" w:type="dxa"/>
            <w:tcBorders>
              <w:left w:val="single" w:sz="4" w:space="0" w:color="9BBB59" w:themeColor="accent3"/>
            </w:tcBorders>
          </w:tcPr>
          <w:p w:rsidR="0094091B" w:rsidRPr="00E50EF8" w:rsidRDefault="00E50EF8" w:rsidP="003100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E50EF8">
              <w:rPr>
                <w:rFonts w:ascii="Arial" w:hAnsi="Arial" w:cs="Arial"/>
                <w:b/>
                <w:bCs/>
                <w:sz w:val="24"/>
              </w:rPr>
              <w:t>APLICA</w:t>
            </w:r>
          </w:p>
          <w:p w:rsidR="00310071" w:rsidRDefault="00310071" w:rsidP="003100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E50EF8" w:rsidRDefault="00E50EF8" w:rsidP="0031007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E50EF8">
              <w:rPr>
                <w:rFonts w:ascii="Arial" w:hAnsi="Arial" w:cs="Arial"/>
                <w:b/>
                <w:bCs/>
                <w:sz w:val="24"/>
              </w:rPr>
              <w:t>LEY DE PARTICIPACIÓN SOCIAL PARA EL ESTADO DE CHIAPAS</w:t>
            </w: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464" w:type="dxa"/>
            <w:gridSpan w:val="2"/>
          </w:tcPr>
          <w:p w:rsidR="0094091B" w:rsidRPr="008964BE" w:rsidRDefault="008964BE" w:rsidP="008964B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8964BE">
              <w:rPr>
                <w:rFonts w:ascii="Arial" w:hAnsi="Arial" w:cs="Arial"/>
                <w:b/>
              </w:rPr>
              <w:t>Artículo 1</w:t>
            </w:r>
            <w:r w:rsidRPr="008964BE">
              <w:rPr>
                <w:rFonts w:ascii="Arial" w:hAnsi="Arial" w:cs="Arial"/>
              </w:rPr>
              <w:t>°.- La presente ley es de orden público e interés general y tiene por objeto regular los mecanismos de participación social e impulsar la gestión ciudadana en el Estado de Chiapas, en el ámbito de competencia de los gobiernos estatal y municipal.</w:t>
            </w:r>
          </w:p>
        </w:tc>
      </w:tr>
      <w:tr w:rsidR="0094091B" w:rsidTr="00271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  <w:p w:rsidR="0094091B" w:rsidRPr="0094091B" w:rsidRDefault="0094091B" w:rsidP="008674A3">
            <w:pPr>
              <w:rPr>
                <w:rFonts w:ascii="Arial" w:hAnsi="Arial" w:cs="Arial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>7. Marco legal completo para la rendición de cuentas.</w:t>
            </w:r>
          </w:p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13" w:type="dxa"/>
            <w:tcBorders>
              <w:left w:val="single" w:sz="4" w:space="0" w:color="9BBB59" w:themeColor="accent3"/>
            </w:tcBorders>
          </w:tcPr>
          <w:p w:rsidR="00310071" w:rsidRDefault="00C6445D" w:rsidP="00310071">
            <w:pPr>
              <w:tabs>
                <w:tab w:val="left" w:pos="12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1"/>
              </w:rPr>
            </w:pPr>
            <w:r w:rsidRPr="00271994">
              <w:rPr>
                <w:rFonts w:ascii="Arial" w:hAnsi="Arial" w:cs="Arial"/>
                <w:b/>
                <w:sz w:val="24"/>
              </w:rPr>
              <w:t>APLICA</w:t>
            </w:r>
          </w:p>
          <w:p w:rsidR="00C6445D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C6445D" w:rsidRPr="00271994" w:rsidRDefault="00C6445D" w:rsidP="00C644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271994">
              <w:rPr>
                <w:rFonts w:ascii="Arial" w:hAnsi="Arial" w:cs="Arial"/>
                <w:b/>
                <w:sz w:val="24"/>
              </w:rPr>
              <w:t>LEY DE FISCALIZACIÓN SUPERIOR DEL ESTADO DE CHIAPAS</w:t>
            </w:r>
          </w:p>
          <w:p w:rsidR="0066249C" w:rsidRDefault="0066249C" w:rsidP="0066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</w:p>
          <w:p w:rsidR="00C6445D" w:rsidRDefault="00C6445D" w:rsidP="0066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Y</w:t>
            </w:r>
          </w:p>
          <w:p w:rsidR="00C6445D" w:rsidRDefault="00C6445D" w:rsidP="00662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  <w:r w:rsidRPr="00555876">
              <w:rPr>
                <w:rFonts w:ascii="Arial" w:hAnsi="Arial" w:cs="Arial"/>
                <w:b/>
                <w:bCs/>
                <w:sz w:val="24"/>
              </w:rPr>
              <w:t>ORGANO DE FISCALIZACIÓN SUPERIOR DEL  CONGRESO ESTADO DE CHIAPAS (OFSCE)</w:t>
            </w:r>
          </w:p>
          <w:p w:rsid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  <w:p w:rsidR="0066249C" w:rsidRPr="0066249C" w:rsidRDefault="0066249C" w:rsidP="00662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Pr="00310071" w:rsidRDefault="0094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464" w:type="dxa"/>
            <w:gridSpan w:val="2"/>
          </w:tcPr>
          <w:p w:rsidR="00C6445D" w:rsidRPr="00C6445D" w:rsidRDefault="00C6445D" w:rsidP="00C644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Pr="00C6445D">
              <w:rPr>
                <w:rFonts w:ascii="Arial" w:hAnsi="Arial" w:cs="Arial"/>
              </w:rPr>
              <w:t>a revisión y fiscalización de la cuenta pública tiene el objeto de evaluar los resultados de la gestión financiera de las entidades fiscalizadas; comprobar si se observó lo dispuesto en los respectivos presupuestos de egresos, ley de ingresos y demás disposiciones legales aplicables; practicar auditorías sobre el desempeño, para verificar, de manera cualitativa, el cumplimiento de los objetivos y las metas de los programas estatales y municipales, así como comprobar si las políticas públicas en materia de desarrollo social se alinean y cumplen los objetivos de desarrollo del milenio del programa de la naciones unidas para el desarrollo.</w:t>
            </w:r>
          </w:p>
          <w:p w:rsidR="00310071" w:rsidRPr="00310071" w:rsidRDefault="00C6445D" w:rsidP="00C644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445D">
              <w:rPr>
                <w:rFonts w:ascii="Arial" w:hAnsi="Arial" w:cs="Arial"/>
              </w:rPr>
              <w:t>La revisión de la cuenta pública se ajustará a las normas y principios de posterioridad, anualidad, legalidad, definitividad, imparcialidad y confiabilidad, que consigna el artículo 31 de la constitución política del estado de Chiapas.</w:t>
            </w:r>
          </w:p>
        </w:tc>
      </w:tr>
      <w:tr w:rsidR="00450CB4" w:rsidTr="002F66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  <w:tcBorders>
              <w:right w:val="single" w:sz="4" w:space="0" w:color="9BBB59" w:themeColor="accent3"/>
            </w:tcBorders>
          </w:tcPr>
          <w:p w:rsidR="0094091B" w:rsidRDefault="0094091B">
            <w:pPr>
              <w:rPr>
                <w:rFonts w:ascii="Arial" w:hAnsi="Arial" w:cs="Arial"/>
                <w:sz w:val="24"/>
              </w:rPr>
            </w:pPr>
          </w:p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>8. Liderazgo de las EFS.</w:t>
            </w:r>
          </w:p>
          <w:p w:rsidR="0094091B" w:rsidRPr="0094091B" w:rsidRDefault="0094091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91" w:type="dxa"/>
            <w:gridSpan w:val="2"/>
            <w:tcBorders>
              <w:left w:val="single" w:sz="4" w:space="0" w:color="9BBB59" w:themeColor="accent3"/>
            </w:tcBorders>
          </w:tcPr>
          <w:p w:rsidR="00271994" w:rsidRPr="00271994" w:rsidRDefault="00555876" w:rsidP="002719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94091B">
              <w:rPr>
                <w:rFonts w:ascii="Arial" w:hAnsi="Arial" w:cs="Arial"/>
                <w:sz w:val="24"/>
              </w:rPr>
              <w:t>.</w:t>
            </w:r>
            <w:r w:rsidR="00271994">
              <w:t xml:space="preserve"> </w:t>
            </w:r>
            <w:r w:rsidR="00271994" w:rsidRPr="00271994">
              <w:rPr>
                <w:rFonts w:ascii="Arial" w:hAnsi="Arial" w:cs="Arial"/>
                <w:b/>
                <w:sz w:val="24"/>
              </w:rPr>
              <w:t>APLICA</w:t>
            </w:r>
          </w:p>
          <w:p w:rsidR="00271994" w:rsidRPr="00271994" w:rsidRDefault="00271994" w:rsidP="002719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</w:p>
          <w:p w:rsidR="00555876" w:rsidRPr="00271994" w:rsidRDefault="00271994" w:rsidP="002719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271994">
              <w:rPr>
                <w:rFonts w:ascii="Arial" w:hAnsi="Arial" w:cs="Arial"/>
                <w:b/>
                <w:sz w:val="24"/>
              </w:rPr>
              <w:t>LEY DE FISCALIZACIÓN SUPERIOR DEL ESTADO DE CHIAPAS</w:t>
            </w:r>
          </w:p>
          <w:p w:rsidR="0094091B" w:rsidRPr="00555876" w:rsidRDefault="0094091B" w:rsidP="005558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3" w:type="dxa"/>
            <w:gridSpan w:val="2"/>
            <w:tcBorders>
              <w:righ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4" w:type="dxa"/>
            <w:gridSpan w:val="2"/>
            <w:tcBorders>
              <w:left w:val="single" w:sz="4" w:space="0" w:color="9BBB59" w:themeColor="accent3"/>
            </w:tcBorders>
          </w:tcPr>
          <w:p w:rsidR="0094091B" w:rsidRDefault="009409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86" w:type="dxa"/>
          </w:tcPr>
          <w:p w:rsidR="00271994" w:rsidRDefault="00271994" w:rsidP="00271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presente ley es de orden público y tiene por objeto regular la rendición y revisión de la cuenta pública y su fiscalización superior, de acuerdo a lo que establecen las fracciones xxvi y xxx, del artículo 30 y 31, de la constitución política del estado de Chiapas.</w:t>
            </w:r>
          </w:p>
          <w:p w:rsidR="0094091B" w:rsidRDefault="00271994" w:rsidP="0027199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 fiscalización de la cuenta pública comprende la revisión de los ingresos, los egresos, incluyendo subsidios, transferencias y donativos, fondos, los gastos fiscales y la deuda pública; del manejo, la custodia y la aplicación de recursos públicos estatales, municipales y en su caso de los federales, así como de la demás información financiera, contable, patrimonial, presupuestaria y programática que las entidades deben la cuenta pública, conforme a las disposiciones aplicables.</w:t>
            </w:r>
          </w:p>
        </w:tc>
      </w:tr>
    </w:tbl>
    <w:p w:rsidR="00111B2F" w:rsidRDefault="00111B2F"/>
    <w:sectPr w:rsidR="00111B2F" w:rsidSect="00531C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876" w:rsidRDefault="00555876" w:rsidP="00555876">
      <w:pPr>
        <w:spacing w:after="0" w:line="240" w:lineRule="auto"/>
      </w:pPr>
      <w:r>
        <w:separator/>
      </w:r>
    </w:p>
  </w:endnote>
  <w:endnote w:type="continuationSeparator" w:id="0">
    <w:p w:rsidR="00555876" w:rsidRDefault="00555876" w:rsidP="00555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876" w:rsidRDefault="00555876" w:rsidP="00555876">
      <w:pPr>
        <w:spacing w:after="0" w:line="240" w:lineRule="auto"/>
      </w:pPr>
      <w:r>
        <w:separator/>
      </w:r>
    </w:p>
  </w:footnote>
  <w:footnote w:type="continuationSeparator" w:id="0">
    <w:p w:rsidR="00555876" w:rsidRDefault="00555876" w:rsidP="005558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D5"/>
    <w:rsid w:val="00111B2F"/>
    <w:rsid w:val="00271994"/>
    <w:rsid w:val="002F66A0"/>
    <w:rsid w:val="00310071"/>
    <w:rsid w:val="00450CB4"/>
    <w:rsid w:val="004D5C14"/>
    <w:rsid w:val="00531C97"/>
    <w:rsid w:val="00555876"/>
    <w:rsid w:val="0057038C"/>
    <w:rsid w:val="0066249C"/>
    <w:rsid w:val="00713652"/>
    <w:rsid w:val="0079067C"/>
    <w:rsid w:val="008674A3"/>
    <w:rsid w:val="008964BE"/>
    <w:rsid w:val="008C3A11"/>
    <w:rsid w:val="0094091B"/>
    <w:rsid w:val="009560D5"/>
    <w:rsid w:val="00B44D50"/>
    <w:rsid w:val="00BC5FEA"/>
    <w:rsid w:val="00C40F0A"/>
    <w:rsid w:val="00C6445D"/>
    <w:rsid w:val="00E5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6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956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956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531C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531C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531C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4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9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5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876"/>
  </w:style>
  <w:style w:type="paragraph" w:styleId="Piedepgina">
    <w:name w:val="footer"/>
    <w:basedOn w:val="Normal"/>
    <w:link w:val="PiedepginaCar"/>
    <w:uiPriority w:val="99"/>
    <w:unhideWhenUsed/>
    <w:rsid w:val="00555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8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6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3">
    <w:name w:val="Medium Shading 2 Accent 3"/>
    <w:basedOn w:val="Tablanormal"/>
    <w:uiPriority w:val="64"/>
    <w:rsid w:val="00956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clara">
    <w:name w:val="Light Grid"/>
    <w:basedOn w:val="Tablanormal"/>
    <w:uiPriority w:val="62"/>
    <w:rsid w:val="009560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531C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531C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531C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40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9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55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876"/>
  </w:style>
  <w:style w:type="paragraph" w:styleId="Piedepgina">
    <w:name w:val="footer"/>
    <w:basedOn w:val="Normal"/>
    <w:link w:val="PiedepginaCar"/>
    <w:uiPriority w:val="99"/>
    <w:unhideWhenUsed/>
    <w:rsid w:val="005558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Viridiana</dc:creator>
  <cp:lastModifiedBy>PC1</cp:lastModifiedBy>
  <cp:revision>8</cp:revision>
  <dcterms:created xsi:type="dcterms:W3CDTF">2016-01-29T22:12:00Z</dcterms:created>
  <dcterms:modified xsi:type="dcterms:W3CDTF">2016-02-01T01:14:00Z</dcterms:modified>
</cp:coreProperties>
</file>