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990" w:rsidRDefault="00695990" w:rsidP="0069599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5AF2D" wp14:editId="604E0007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wp:positionV relativeFrom="page">
                  <wp:posOffset>299168</wp:posOffset>
                </wp:positionV>
                <wp:extent cx="2875915" cy="3017520"/>
                <wp:effectExtent l="0" t="0" r="635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990" w:rsidRDefault="00695990" w:rsidP="00695990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MAESTRIA EN ADMINISTRACION Y POLITICAS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PUBLICAS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95990" w:rsidRDefault="00695990" w:rsidP="00695990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695990" w:rsidRDefault="00695990" w:rsidP="00695990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RENDICION DE CUENTAS Y CONTRALORIA SOCIAL.</w:t>
                            </w:r>
                          </w:p>
                          <w:p w:rsidR="00695990" w:rsidRPr="00D06B1B" w:rsidRDefault="00695990" w:rsidP="00695990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06B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DR.AMADOR MARTINEZ MARTINEZ.</w:t>
                            </w:r>
                            <w:r w:rsidRPr="00D06B1B">
                              <w:rPr>
                                <w:rFonts w:asciiTheme="majorHAnsi" w:hAnsiTheme="majorHAnsi"/>
                                <w:color w:val="1F497D" w:themeColor="text2"/>
                                <w:sz w:val="20"/>
                                <w:szCs w:val="20"/>
                              </w:rPr>
                              <w:t>CIAL</w:t>
                            </w:r>
                          </w:p>
                          <w:p w:rsidR="00695990" w:rsidRPr="004E326E" w:rsidRDefault="00695990" w:rsidP="00695990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id="Rectángulo 35" o:spid="_x0000_s1026" style="position:absolute;margin-left:0;margin-top:23.55pt;width:226.45pt;height:237.6pt;z-index:251660288;visibility:visible;mso-wrap-style:square;mso-width-percent:370;mso-height-percent:300;mso-left-percent:455;mso-wrap-distance-left:9pt;mso-wrap-distance-top:0;mso-wrap-distance-right:9pt;mso-wrap-distance-bottom:0;mso-position-horizontal-relative:page;mso-position-vertical:absolute;mso-position-vertical-relative:page;mso-width-percent:370;mso-height-percent:300;mso-left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" fillcolor="#1f497d [3215]" stroked="f" strokeweight="2pt">
                <v:textbox inset="14.4pt,14.4pt,14.4pt,28.8pt">
                  <w:txbxContent>
                    <w:p w:rsidR="00695990" w:rsidRDefault="00695990" w:rsidP="00695990">
                      <w:pPr>
                        <w:spacing w:before="24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MAESTRIA EN ADMINISTRACION Y POLITICAS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PUBLICAS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:rsidR="00695990" w:rsidRDefault="00695990" w:rsidP="00695990">
                      <w:pPr>
                        <w:spacing w:before="24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95990" w:rsidRDefault="00695990" w:rsidP="00695990">
                      <w:pPr>
                        <w:spacing w:before="24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RENDICION DE CUENTAS Y CONTRALORIA SOCIAL.</w:t>
                      </w:r>
                    </w:p>
                    <w:p w:rsidR="00695990" w:rsidRPr="00D06B1B" w:rsidRDefault="00695990" w:rsidP="00695990">
                      <w:pPr>
                        <w:spacing w:before="240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06B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DR.AMADOR MARTINEZ MARTINEZ.</w:t>
                      </w:r>
                      <w:r w:rsidRPr="00D06B1B">
                        <w:rPr>
                          <w:rFonts w:asciiTheme="majorHAnsi" w:hAnsiTheme="majorHAnsi"/>
                          <w:color w:val="1F497D" w:themeColor="text2"/>
                          <w:sz w:val="20"/>
                          <w:szCs w:val="20"/>
                        </w:rPr>
                        <w:t>CIAL</w:t>
                      </w:r>
                    </w:p>
                    <w:p w:rsidR="00695990" w:rsidRPr="004E326E" w:rsidRDefault="00695990" w:rsidP="00695990">
                      <w:pPr>
                        <w:spacing w:before="240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B63EC9A" wp14:editId="3378A48A">
            <wp:extent cx="2220421" cy="823405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75" cy="8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D1EBF" wp14:editId="47A14C58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66000</wp14:pctPosVOffset>
                    </wp:positionV>
                  </mc:Choice>
                  <mc:Fallback>
                    <wp:positionV relativeFrom="page">
                      <wp:posOffset>6638290</wp:posOffset>
                    </wp:positionV>
                  </mc:Fallback>
                </mc:AlternateContent>
                <wp:extent cx="2797810" cy="268605"/>
                <wp:effectExtent l="0" t="0" r="0" b="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5990" w:rsidRPr="006E39CF" w:rsidRDefault="00695990" w:rsidP="00695990">
                            <w:pPr>
                              <w:pStyle w:val="Sinespaciado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6E39CF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Lic. Belinda García Isasi.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BJXeujPQIAAG8EAAAOAAAA&#10;AAAAAAAAAAAAAC4CAABkcnMvZTJvRG9jLnhtbFBLAQItABQABgAIAAAAIQBTzbbv3gAAAAQBAAAP&#10;AAAAAAAAAAAAAAAAAJcEAABkcnMvZG93bnJldi54bWxQSwUGAAAAAAQABADzAAAAogUAAAAA&#10;" filled="f" stroked="f" strokeweight=".5pt">
                <v:textbox style="mso-fit-shape-to-text:t">
                  <w:txbxContent>
                    <w:p w:rsidR="00695990" w:rsidRPr="006E39CF" w:rsidRDefault="00695990" w:rsidP="00695990">
                      <w:pPr>
                        <w:pStyle w:val="Sinespaciado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 w:rsidRPr="006E39CF">
                        <w:rPr>
                          <w:color w:val="1F497D" w:themeColor="text2"/>
                          <w:sz w:val="28"/>
                          <w:szCs w:val="28"/>
                        </w:rPr>
                        <w:t>Lic. Belinda García Isasi.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FAA656" wp14:editId="57CBE6F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83780" cy="9555480"/>
                <wp:effectExtent l="0" t="0" r="0" b="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990" w:rsidRDefault="00695990" w:rsidP="00695990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Rectángulo 34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At84CAnQIAAIIFAAAOAAAAAAAAAAAAAAAAAC4CAABkcnMvZTJv&#10;RG9jLnhtbFBLAQItABQABgAIAAAAIQCumH/x2wAAAAcBAAAPAAAAAAAAAAAAAAAAAPcEAABkcnMv&#10;ZG93bnJldi54bWxQSwUGAAAAAAQABADzAAAA/wUAAAAA&#10;" fillcolor="#f1efe6 [2579]" stroked="f" strokeweight="2pt">
                <v:fill color2="#575131 [963]" rotate="t" focusposition=".5,.5" focussize="" focus="100%" type="gradientRadial"/>
                <v:path arrowok="t"/>
                <v:textbox inset="21.6pt,,21.6pt">
                  <w:txbxContent>
                    <w:p w:rsidR="00695990" w:rsidRDefault="00695990" w:rsidP="00695990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874A3" wp14:editId="764F620F">
                <wp:simplePos x="0" y="0"/>
                <mc:AlternateContent>
                  <mc:Choice Requires="wp14">
                    <wp:positionH relativeFrom="page">
                      <wp14:pctPosHOffset>44000</wp14:pctPosHOffset>
                    </wp:positionH>
                  </mc:Choice>
                  <mc:Fallback>
                    <wp:positionH relativeFrom="page">
                      <wp:posOffset>3419475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3108960" cy="704088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938953 [1614]" strokeweight="1.25pt">
                <w10:wrap anchorx="page" anchory="pag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1D946" wp14:editId="50A94E23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69000</wp14:pctPosVOffset>
                    </wp:positionV>
                  </mc:Choice>
                  <mc:Fallback>
                    <wp:positionV relativeFrom="page">
                      <wp:posOffset>6939915</wp:posOffset>
                    </wp:positionV>
                  </mc:Fallback>
                </mc:AlternateContent>
                <wp:extent cx="2875915" cy="118745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<w10:wrap anchorx="page" anchory="page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76A49" wp14:editId="252536A2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35000</wp14:pctPosVOffset>
                    </wp:positionV>
                  </mc:Choice>
                  <mc:Fallback>
                    <wp:positionV relativeFrom="page">
                      <wp:posOffset>3520440</wp:posOffset>
                    </wp:positionV>
                  </mc:Fallback>
                </mc:AlternateContent>
                <wp:extent cx="2797810" cy="2475230"/>
                <wp:effectExtent l="0" t="0" r="0" b="0"/>
                <wp:wrapSquare wrapText="bothSides"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5990" w:rsidRPr="002971AE" w:rsidRDefault="00695990" w:rsidP="00695990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4F81BD" w:themeColor="accent1"/>
                                <w:sz w:val="24"/>
                                <w:szCs w:val="24"/>
                              </w:rPr>
                              <w:t>Análisis de la Declaración: Principios sobre la Rendición de Cuentas en México (OLACEFS)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<v:textbox style="mso-fit-shape-to-text:t">
                  <w:txbxContent>
                    <w:p w:rsidR="00695990" w:rsidRPr="002971AE" w:rsidRDefault="00695990" w:rsidP="00695990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4F81BD" w:themeColor="accent1"/>
                          <w:sz w:val="24"/>
                          <w:szCs w:val="24"/>
                        </w:rPr>
                        <w:t>Análisis de la Declaración: Principios sobre la Rendición de Cuentas en México (OLACEFS)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8118B7" w:rsidP="00695990">
      <w:r>
        <w:t xml:space="preserve">, </w:t>
      </w:r>
    </w:p>
    <w:p w:rsidR="00BC435A" w:rsidRPr="00471908" w:rsidRDefault="00BA4041" w:rsidP="00BA4041">
      <w:pPr>
        <w:rPr>
          <w:rFonts w:ascii="Arial" w:hAnsi="Arial" w:cs="Arial"/>
          <w:b/>
          <w:sz w:val="28"/>
          <w:szCs w:val="28"/>
        </w:rPr>
      </w:pPr>
      <w:r w:rsidRPr="00471908">
        <w:rPr>
          <w:rFonts w:ascii="Arial" w:hAnsi="Arial" w:cs="Arial"/>
          <w:b/>
          <w:sz w:val="28"/>
          <w:szCs w:val="28"/>
        </w:rPr>
        <w:lastRenderedPageBreak/>
        <w:t>Análisis de la Declaración: Principios sobre la Rendición de Cuentas en México. (OLACEFS)</w:t>
      </w:r>
    </w:p>
    <w:p w:rsidR="005624AF" w:rsidRPr="00471908" w:rsidRDefault="005624AF" w:rsidP="00BA4041">
      <w:pPr>
        <w:rPr>
          <w:rFonts w:ascii="Arial" w:hAnsi="Arial" w:cs="Arial"/>
          <w:b/>
          <w:sz w:val="24"/>
          <w:szCs w:val="24"/>
        </w:rPr>
      </w:pPr>
    </w:p>
    <w:p w:rsidR="001C2941" w:rsidRPr="00471908" w:rsidRDefault="003F17FF" w:rsidP="00DD24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1908">
        <w:rPr>
          <w:rFonts w:ascii="Arial" w:hAnsi="Arial" w:cs="Arial"/>
          <w:sz w:val="24"/>
          <w:szCs w:val="24"/>
        </w:rPr>
        <w:t xml:space="preserve">La XIX Asamblea General de la OLACEFS reunida en </w:t>
      </w:r>
      <w:r w:rsidR="0061510F" w:rsidRPr="00471908">
        <w:rPr>
          <w:rFonts w:ascii="Arial" w:hAnsi="Arial" w:cs="Arial"/>
          <w:sz w:val="24"/>
          <w:szCs w:val="24"/>
        </w:rPr>
        <w:t>Asunción</w:t>
      </w:r>
      <w:r w:rsidRPr="00471908">
        <w:rPr>
          <w:rFonts w:ascii="Arial" w:hAnsi="Arial" w:cs="Arial"/>
          <w:sz w:val="24"/>
          <w:szCs w:val="24"/>
        </w:rPr>
        <w:t xml:space="preserve">, Paraguay, </w:t>
      </w:r>
      <w:r w:rsidR="0061510F" w:rsidRPr="00471908">
        <w:rPr>
          <w:rFonts w:ascii="Arial" w:hAnsi="Arial" w:cs="Arial"/>
          <w:sz w:val="24"/>
          <w:szCs w:val="24"/>
        </w:rPr>
        <w:t xml:space="preserve">en octubre 2009, ha considerado que la rendición de cuentas es  fundamental para la gobernabilidad de los </w:t>
      </w:r>
      <w:r w:rsidR="008118B7" w:rsidRPr="00471908">
        <w:rPr>
          <w:rFonts w:ascii="Arial" w:hAnsi="Arial" w:cs="Arial"/>
          <w:sz w:val="24"/>
          <w:szCs w:val="24"/>
        </w:rPr>
        <w:t>países y constituye un principio de la vida pública.</w:t>
      </w:r>
      <w:r w:rsidR="0089716F" w:rsidRPr="00471908">
        <w:rPr>
          <w:rFonts w:ascii="Arial" w:hAnsi="Arial" w:cs="Arial"/>
          <w:sz w:val="24"/>
          <w:szCs w:val="24"/>
        </w:rPr>
        <w:t xml:space="preserve"> </w:t>
      </w:r>
    </w:p>
    <w:p w:rsidR="0089716F" w:rsidRPr="00471908" w:rsidRDefault="001C2941" w:rsidP="00DD24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1908">
        <w:rPr>
          <w:rFonts w:ascii="Arial" w:hAnsi="Arial" w:cs="Arial"/>
          <w:sz w:val="24"/>
          <w:szCs w:val="24"/>
        </w:rPr>
        <w:t xml:space="preserve"> Un buen Gobierno debe adoptar la idea moderna de la auditoria gubernamental de la fiscalización superior que se maneja en el ámbito Internacional</w:t>
      </w:r>
      <w:r w:rsidR="00A645FB" w:rsidRPr="00471908">
        <w:rPr>
          <w:rFonts w:ascii="Arial" w:hAnsi="Arial" w:cs="Arial"/>
          <w:sz w:val="24"/>
          <w:szCs w:val="24"/>
        </w:rPr>
        <w:t>,</w:t>
      </w:r>
      <w:r w:rsidRPr="00471908">
        <w:rPr>
          <w:rFonts w:ascii="Arial" w:hAnsi="Arial" w:cs="Arial"/>
          <w:sz w:val="24"/>
          <w:szCs w:val="24"/>
        </w:rPr>
        <w:t xml:space="preserve"> cuya función principal debe ser la mejora de la gestión gubernamental a </w:t>
      </w:r>
      <w:r w:rsidR="00BC62D2" w:rsidRPr="00471908">
        <w:rPr>
          <w:rFonts w:ascii="Arial" w:hAnsi="Arial" w:cs="Arial"/>
          <w:sz w:val="24"/>
          <w:szCs w:val="24"/>
        </w:rPr>
        <w:t>través</w:t>
      </w:r>
      <w:r w:rsidRPr="00471908">
        <w:rPr>
          <w:rFonts w:ascii="Arial" w:hAnsi="Arial" w:cs="Arial"/>
          <w:sz w:val="24"/>
          <w:szCs w:val="24"/>
        </w:rPr>
        <w:t xml:space="preserve"> de coadyuvar que exista un mejor control interno de las entidades que se fiscalizan para mejorar sus procesos administrativos  y contribuir a que se den las modificaciones legales. </w:t>
      </w:r>
    </w:p>
    <w:p w:rsidR="00F74B1D" w:rsidRPr="00471908" w:rsidRDefault="00432A7E" w:rsidP="00DD24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1908">
        <w:rPr>
          <w:rFonts w:ascii="Arial" w:hAnsi="Arial" w:cs="Arial"/>
          <w:sz w:val="24"/>
          <w:szCs w:val="24"/>
        </w:rPr>
        <w:t xml:space="preserve"> 8 principios de la rendición de cuentas</w:t>
      </w:r>
      <w:r w:rsidR="0045106B" w:rsidRPr="00471908">
        <w:rPr>
          <w:rFonts w:ascii="Arial" w:hAnsi="Arial" w:cs="Arial"/>
          <w:sz w:val="24"/>
          <w:szCs w:val="24"/>
        </w:rPr>
        <w:t>:</w:t>
      </w:r>
    </w:p>
    <w:p w:rsidR="0045106B" w:rsidRPr="00471908" w:rsidRDefault="0045106B" w:rsidP="004510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1908">
        <w:rPr>
          <w:rFonts w:ascii="Arial" w:hAnsi="Arial" w:cs="Arial"/>
          <w:sz w:val="24"/>
          <w:szCs w:val="24"/>
        </w:rPr>
        <w:t>La rendición de cuentas es la base para un buen Gobierno.</w:t>
      </w:r>
    </w:p>
    <w:p w:rsidR="00AB399F" w:rsidRDefault="00AB399F" w:rsidP="00AB399F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1"/>
        <w:gridCol w:w="4203"/>
      </w:tblGrid>
      <w:tr w:rsidR="000143BF" w:rsidTr="000143BF">
        <w:tc>
          <w:tcPr>
            <w:tcW w:w="4489" w:type="dxa"/>
          </w:tcPr>
          <w:p w:rsidR="000143BF" w:rsidRDefault="001D359F" w:rsidP="000143B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EL </w:t>
            </w:r>
            <w:r w:rsidR="00AB399F">
              <w:rPr>
                <w:rFonts w:ascii="Arial" w:hAnsi="Arial" w:cs="Arial"/>
                <w:sz w:val="28"/>
                <w:szCs w:val="28"/>
              </w:rPr>
              <w:t>vínculo</w:t>
            </w:r>
            <w:r>
              <w:rPr>
                <w:rFonts w:ascii="Arial" w:hAnsi="Arial" w:cs="Arial"/>
                <w:sz w:val="28"/>
                <w:szCs w:val="28"/>
              </w:rPr>
              <w:t xml:space="preserve"> entre el poder político y la ciudadanía debe contar con mecanismos que permitan una </w:t>
            </w:r>
            <w:r w:rsidR="00AB399F">
              <w:rPr>
                <w:rFonts w:ascii="Arial" w:hAnsi="Arial" w:cs="Arial"/>
                <w:sz w:val="28"/>
                <w:szCs w:val="28"/>
              </w:rPr>
              <w:t>interacción</w:t>
            </w:r>
            <w:r>
              <w:rPr>
                <w:rFonts w:ascii="Arial" w:hAnsi="Arial" w:cs="Arial"/>
                <w:sz w:val="28"/>
                <w:szCs w:val="28"/>
              </w:rPr>
              <w:t xml:space="preserve"> que asegure que los gobiernos respondan a los intereses de sus representados.</w:t>
            </w:r>
          </w:p>
        </w:tc>
        <w:tc>
          <w:tcPr>
            <w:tcW w:w="4489" w:type="dxa"/>
          </w:tcPr>
          <w:p w:rsidR="000143BF" w:rsidRDefault="001D3B40" w:rsidP="00171DE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 Chiapas cada vez hay mayor número de ciudadanos interesados en los programas de gobierno</w:t>
            </w:r>
            <w:r w:rsidR="00D42EE4">
              <w:rPr>
                <w:rFonts w:ascii="Arial" w:hAnsi="Arial" w:cs="Arial"/>
                <w:sz w:val="28"/>
                <w:szCs w:val="28"/>
              </w:rPr>
              <w:t>, están pendientes de sus acciones y los servicios que brindan a la ciudadanía. La contraloría social forma parte de una corresponsabilidad entre los beneficiarios de los programas y servidores públicos.</w:t>
            </w:r>
          </w:p>
          <w:p w:rsidR="00171DE6" w:rsidRDefault="00F74FD7" w:rsidP="00171DE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 los  ciudadanos la rendición de cuentas se convierte en un instrumento de visibilidad y posibilidad de información de la democracia.</w:t>
            </w:r>
          </w:p>
        </w:tc>
      </w:tr>
    </w:tbl>
    <w:p w:rsidR="00171DE6" w:rsidRPr="003D5522" w:rsidRDefault="00171DE6" w:rsidP="003D552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4510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Obligación de Informar y Justificar.</w:t>
      </w:r>
    </w:p>
    <w:p w:rsidR="003D5522" w:rsidRDefault="003D5522" w:rsidP="003D5522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56"/>
      </w:tblGrid>
      <w:tr w:rsidR="003A756C" w:rsidTr="003D5522">
        <w:tc>
          <w:tcPr>
            <w:tcW w:w="4489" w:type="dxa"/>
          </w:tcPr>
          <w:p w:rsidR="003D5522" w:rsidRDefault="003D5522" w:rsidP="003D552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Todo funcionario público está en la obligación de informar acerca de sus decisiones y justificarlas de forma clara y completa públicamente.</w:t>
            </w:r>
          </w:p>
        </w:tc>
        <w:tc>
          <w:tcPr>
            <w:tcW w:w="4489" w:type="dxa"/>
          </w:tcPr>
          <w:p w:rsidR="003D5522" w:rsidRDefault="003D5522" w:rsidP="003A756C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Todos los funcionarios públicos en Chiapas tienen a bien presentar en tiempo y forma su declaración </w:t>
            </w:r>
            <w:r w:rsidR="003A756C">
              <w:rPr>
                <w:rFonts w:ascii="Arial" w:hAnsi="Arial" w:cs="Arial"/>
                <w:sz w:val="28"/>
                <w:szCs w:val="28"/>
              </w:rPr>
              <w:t>patrimonial.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A756C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 xml:space="preserve">sí </w:t>
            </w:r>
            <w:r w:rsidR="003A756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mismo </w:t>
            </w:r>
            <w:r w:rsidR="00290E1A">
              <w:rPr>
                <w:rFonts w:ascii="Arial" w:hAnsi="Arial" w:cs="Arial"/>
                <w:sz w:val="28"/>
                <w:szCs w:val="28"/>
              </w:rPr>
              <w:t xml:space="preserve">los </w:t>
            </w:r>
            <w:r w:rsidR="003A756C">
              <w:rPr>
                <w:rFonts w:ascii="Arial" w:hAnsi="Arial" w:cs="Arial"/>
                <w:sz w:val="28"/>
                <w:szCs w:val="28"/>
              </w:rPr>
              <w:t>programas so</w:t>
            </w:r>
            <w:r w:rsidR="002A335C">
              <w:rPr>
                <w:rFonts w:ascii="Arial" w:hAnsi="Arial" w:cs="Arial"/>
                <w:sz w:val="28"/>
                <w:szCs w:val="28"/>
              </w:rPr>
              <w:t xml:space="preserve">ciales que deben ser evaluados y </w:t>
            </w:r>
            <w:r w:rsidR="003A756C">
              <w:rPr>
                <w:rFonts w:ascii="Arial" w:hAnsi="Arial" w:cs="Arial"/>
                <w:sz w:val="28"/>
                <w:szCs w:val="28"/>
              </w:rPr>
              <w:t xml:space="preserve"> según las demandas de la sociedad poder corregir de ser el caso los lineamientos o las políticas públicas a fin de lograr el bienestar de la  sociedad.</w:t>
            </w:r>
          </w:p>
        </w:tc>
      </w:tr>
    </w:tbl>
    <w:p w:rsidR="003D5522" w:rsidRDefault="003D5522" w:rsidP="003D5522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8E5AEE" w:rsidRDefault="008E5AEE" w:rsidP="003D5522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4B669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3.- Integralidad del Sistema de Rendición de Cuentas.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8"/>
        <w:gridCol w:w="4346"/>
      </w:tblGrid>
      <w:tr w:rsidR="00CD4E70" w:rsidTr="00CD4E70">
        <w:tc>
          <w:tcPr>
            <w:tcW w:w="4489" w:type="dxa"/>
          </w:tcPr>
          <w:p w:rsidR="00CD4E70" w:rsidRDefault="00CD4E70" w:rsidP="004B6698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sistema</w:t>
            </w:r>
            <w:r w:rsidR="003F6AE4">
              <w:rPr>
                <w:rFonts w:ascii="Arial" w:hAnsi="Arial" w:cs="Arial"/>
                <w:sz w:val="28"/>
                <w:szCs w:val="28"/>
              </w:rPr>
              <w:t xml:space="preserve"> de rendición de cuentas esta constituido por una diversidad de actores sociales que interactúan tanto en el plano interinstitucional como con la sociedad civi</w:t>
            </w:r>
            <w:r w:rsidR="00CB55BF">
              <w:rPr>
                <w:rFonts w:ascii="Arial" w:hAnsi="Arial" w:cs="Arial"/>
                <w:sz w:val="28"/>
                <w:szCs w:val="28"/>
              </w:rPr>
              <w:t>l.</w:t>
            </w:r>
          </w:p>
        </w:tc>
        <w:tc>
          <w:tcPr>
            <w:tcW w:w="4489" w:type="dxa"/>
          </w:tcPr>
          <w:p w:rsidR="00CD4E70" w:rsidRDefault="00CB55BF" w:rsidP="00CB55BF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La rendición de cuentas es un componente esencial de un gobierno democrático </w:t>
            </w:r>
            <w:r w:rsidR="0070422A">
              <w:rPr>
                <w:rFonts w:ascii="Arial" w:hAnsi="Arial" w:cs="Arial"/>
                <w:sz w:val="28"/>
                <w:szCs w:val="28"/>
              </w:rPr>
              <w:t xml:space="preserve">por eso </w:t>
            </w:r>
            <w:r>
              <w:rPr>
                <w:rFonts w:ascii="Arial" w:hAnsi="Arial" w:cs="Arial"/>
                <w:sz w:val="28"/>
                <w:szCs w:val="28"/>
              </w:rPr>
              <w:t xml:space="preserve">  el gobierno  de Chi</w:t>
            </w:r>
            <w:r w:rsidR="00F610CB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 xml:space="preserve">pas </w:t>
            </w:r>
            <w:r w:rsidR="00F610CB">
              <w:rPr>
                <w:rFonts w:ascii="Arial" w:hAnsi="Arial" w:cs="Arial"/>
                <w:sz w:val="28"/>
                <w:szCs w:val="28"/>
              </w:rPr>
              <w:t>garantiza</w:t>
            </w:r>
            <w:r>
              <w:rPr>
                <w:rFonts w:ascii="Arial" w:hAnsi="Arial" w:cs="Arial"/>
                <w:sz w:val="28"/>
                <w:szCs w:val="28"/>
              </w:rPr>
              <w:t xml:space="preserve"> a la socieda</w:t>
            </w:r>
            <w:r w:rsidR="00F610CB">
              <w:rPr>
                <w:rFonts w:ascii="Arial" w:hAnsi="Arial" w:cs="Arial"/>
                <w:sz w:val="28"/>
                <w:szCs w:val="28"/>
              </w:rPr>
              <w:t xml:space="preserve">d un ejercicio eficiente y transparente del manejo de los recursos públicos, </w:t>
            </w:r>
            <w:r w:rsidR="004916C5">
              <w:rPr>
                <w:rFonts w:ascii="Arial" w:hAnsi="Arial" w:cs="Arial"/>
                <w:sz w:val="28"/>
                <w:szCs w:val="28"/>
              </w:rPr>
              <w:t xml:space="preserve">a través de una clara y permanente rendición de cuentas, </w:t>
            </w:r>
            <w:r w:rsidR="00FE7CE3">
              <w:rPr>
                <w:rFonts w:ascii="Arial" w:hAnsi="Arial" w:cs="Arial"/>
                <w:sz w:val="28"/>
                <w:szCs w:val="28"/>
              </w:rPr>
              <w:t xml:space="preserve">cuenta con mecanismos de vigilancia de  sus </w:t>
            </w:r>
            <w:r w:rsidR="00F610C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447DD">
              <w:rPr>
                <w:rFonts w:ascii="Arial" w:hAnsi="Arial" w:cs="Arial"/>
                <w:sz w:val="28"/>
                <w:szCs w:val="28"/>
              </w:rPr>
              <w:t xml:space="preserve"> acciones,</w:t>
            </w:r>
            <w:r>
              <w:rPr>
                <w:rFonts w:ascii="Arial" w:hAnsi="Arial" w:cs="Arial"/>
                <w:sz w:val="28"/>
                <w:szCs w:val="28"/>
              </w:rPr>
              <w:t xml:space="preserve"> acepta</w:t>
            </w:r>
            <w:r w:rsidR="00FE7CE3">
              <w:rPr>
                <w:rFonts w:ascii="Arial" w:hAnsi="Arial" w:cs="Arial"/>
                <w:sz w:val="28"/>
                <w:szCs w:val="28"/>
              </w:rPr>
              <w:t>ndo</w:t>
            </w:r>
            <w:r>
              <w:rPr>
                <w:rFonts w:ascii="Arial" w:hAnsi="Arial" w:cs="Arial"/>
                <w:sz w:val="28"/>
                <w:szCs w:val="28"/>
              </w:rPr>
              <w:t xml:space="preserve"> la responsabilidad de las mismas</w:t>
            </w:r>
            <w:r w:rsidR="00F610CB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</w:tbl>
    <w:p w:rsidR="00D911BD" w:rsidRDefault="00D911BD" w:rsidP="008E5A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4B1C" w:rsidRDefault="004B4B1C" w:rsidP="008E5AE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4B669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4.- Transparencia de la Información.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9"/>
        <w:gridCol w:w="4345"/>
      </w:tblGrid>
      <w:tr w:rsidR="00F610CB" w:rsidTr="00CB55BF">
        <w:tc>
          <w:tcPr>
            <w:tcW w:w="4489" w:type="dxa"/>
          </w:tcPr>
          <w:p w:rsidR="00CB55BF" w:rsidRDefault="00CB55BF" w:rsidP="00F610CB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 publicidad de las acciones públicas es premisa fundamental de la transparencia, por lo que la información presentada para los efectos de la rendición de cuentas debe ser confiable,</w:t>
            </w:r>
            <w:r w:rsidR="00F610CB">
              <w:rPr>
                <w:rFonts w:ascii="Arial" w:hAnsi="Arial" w:cs="Arial"/>
                <w:sz w:val="28"/>
                <w:szCs w:val="28"/>
              </w:rPr>
              <w:t xml:space="preserve"> relevante, clara, accesible, comprensible, completa, medible verificable, oportuna, útil y publica para el ciudadano.</w:t>
            </w:r>
          </w:p>
        </w:tc>
        <w:tc>
          <w:tcPr>
            <w:tcW w:w="4489" w:type="dxa"/>
          </w:tcPr>
          <w:p w:rsidR="00CB55BF" w:rsidRDefault="00674991" w:rsidP="00C00A11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 transparencia da a conocer</w:t>
            </w:r>
            <w:r w:rsidR="000C5AD8">
              <w:rPr>
                <w:rFonts w:ascii="Arial" w:hAnsi="Arial" w:cs="Arial"/>
                <w:sz w:val="28"/>
                <w:szCs w:val="28"/>
              </w:rPr>
              <w:t xml:space="preserve"> la información </w:t>
            </w:r>
            <w:r w:rsidR="00E470B7">
              <w:rPr>
                <w:rFonts w:ascii="Arial" w:hAnsi="Arial" w:cs="Arial"/>
                <w:sz w:val="28"/>
                <w:szCs w:val="28"/>
              </w:rPr>
              <w:t>del gobierno a la</w:t>
            </w:r>
            <w:r w:rsidR="000C5AD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470B7">
              <w:rPr>
                <w:rFonts w:ascii="Arial" w:hAnsi="Arial" w:cs="Arial"/>
                <w:sz w:val="28"/>
                <w:szCs w:val="28"/>
              </w:rPr>
              <w:t>sociedad</w:t>
            </w:r>
            <w:r w:rsidR="000C5AD8">
              <w:rPr>
                <w:rFonts w:ascii="Arial" w:hAnsi="Arial" w:cs="Arial"/>
                <w:sz w:val="28"/>
                <w:szCs w:val="28"/>
              </w:rPr>
              <w:t>, mediante</w:t>
            </w:r>
            <w:r w:rsidR="00AC4D77">
              <w:rPr>
                <w:rFonts w:ascii="Arial" w:hAnsi="Arial" w:cs="Arial"/>
                <w:sz w:val="28"/>
                <w:szCs w:val="28"/>
              </w:rPr>
              <w:t xml:space="preserve"> la publicidad y los </w:t>
            </w:r>
            <w:r w:rsidR="000C5AD8">
              <w:rPr>
                <w:rFonts w:ascii="Arial" w:hAnsi="Arial" w:cs="Arial"/>
                <w:sz w:val="28"/>
                <w:szCs w:val="28"/>
              </w:rPr>
              <w:t xml:space="preserve">sistemas de difusión </w:t>
            </w:r>
            <w:r w:rsidR="005D616C">
              <w:rPr>
                <w:rFonts w:ascii="Arial" w:hAnsi="Arial" w:cs="Arial"/>
                <w:sz w:val="28"/>
                <w:szCs w:val="28"/>
              </w:rPr>
              <w:t>c</w:t>
            </w:r>
            <w:r w:rsidR="0006198C">
              <w:rPr>
                <w:rFonts w:ascii="Arial" w:hAnsi="Arial" w:cs="Arial"/>
                <w:sz w:val="28"/>
                <w:szCs w:val="28"/>
              </w:rPr>
              <w:t xml:space="preserve">omo </w:t>
            </w:r>
            <w:r w:rsidR="005D616C">
              <w:rPr>
                <w:rFonts w:ascii="Arial" w:hAnsi="Arial" w:cs="Arial"/>
                <w:sz w:val="28"/>
                <w:szCs w:val="28"/>
              </w:rPr>
              <w:t xml:space="preserve"> las </w:t>
            </w:r>
            <w:r w:rsidR="000C5AD8">
              <w:rPr>
                <w:rFonts w:ascii="Arial" w:hAnsi="Arial" w:cs="Arial"/>
                <w:sz w:val="28"/>
                <w:szCs w:val="28"/>
              </w:rPr>
              <w:t xml:space="preserve"> TIC´S por ejemplo el portal de transparencia del gobierno de Chiapas el cual se puede consultar mediante la página</w:t>
            </w:r>
            <w:r w:rsidR="005D616C">
              <w:rPr>
                <w:rFonts w:ascii="Arial" w:hAnsi="Arial" w:cs="Arial"/>
                <w:sz w:val="28"/>
                <w:szCs w:val="28"/>
              </w:rPr>
              <w:t xml:space="preserve"> web</w:t>
            </w:r>
            <w:r w:rsidR="00994627">
              <w:rPr>
                <w:rFonts w:ascii="Arial" w:hAnsi="Arial" w:cs="Arial"/>
                <w:sz w:val="28"/>
                <w:szCs w:val="28"/>
              </w:rPr>
              <w:t>.</w:t>
            </w:r>
            <w:r w:rsidR="00415C65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:rsidR="007B4EA6" w:rsidRDefault="007B4EA6" w:rsidP="00361D5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F2714E" w:rsidP="004B669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 w:rsidR="004B6698">
        <w:rPr>
          <w:rFonts w:ascii="Arial" w:hAnsi="Arial" w:cs="Arial"/>
          <w:sz w:val="28"/>
          <w:szCs w:val="28"/>
        </w:rPr>
        <w:t>- Sanción del cumplimiento.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24"/>
        <w:gridCol w:w="4370"/>
      </w:tblGrid>
      <w:tr w:rsidR="00F2714E" w:rsidTr="00F2714E">
        <w:tc>
          <w:tcPr>
            <w:tcW w:w="4489" w:type="dxa"/>
          </w:tcPr>
          <w:p w:rsidR="00F2714E" w:rsidRDefault="00F2714E" w:rsidP="007B4EA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Dado que la sanción es una aspecto inherente de la rendición de cuentas, los actores que demandan cuentas deben  estar en capacidad de aplicar o solicitar ante las autoridades competentes las sanciones pertinentes a los funcionarios </w:t>
            </w:r>
            <w:r w:rsidR="007B4EA6">
              <w:rPr>
                <w:rFonts w:ascii="Arial" w:hAnsi="Arial" w:cs="Arial"/>
                <w:sz w:val="28"/>
                <w:szCs w:val="28"/>
              </w:rPr>
              <w:t>públicos que hayan violado sus deberes o incumplido sus obligaciones, tomando para ello en cuenta factores como la  jerarquía y obligaciones del funcionario, el impacto de la gestión a su cargo, la materialidad implícita en sus actuaciones, la reiteración o reincidencia de acciones.</w:t>
            </w:r>
          </w:p>
        </w:tc>
        <w:tc>
          <w:tcPr>
            <w:tcW w:w="4489" w:type="dxa"/>
          </w:tcPr>
          <w:p w:rsidR="00E54D16" w:rsidRDefault="00D14214" w:rsidP="00E54D1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Según la consecuencia o efecto de una conducta que genere una</w:t>
            </w:r>
            <w:r w:rsidR="00A2573F">
              <w:rPr>
                <w:rFonts w:ascii="Arial" w:hAnsi="Arial" w:cs="Arial"/>
                <w:sz w:val="28"/>
                <w:szCs w:val="28"/>
              </w:rPr>
              <w:t xml:space="preserve"> infracción</w:t>
            </w:r>
            <w:r>
              <w:rPr>
                <w:rFonts w:ascii="Arial" w:hAnsi="Arial" w:cs="Arial"/>
                <w:sz w:val="28"/>
                <w:szCs w:val="28"/>
              </w:rPr>
              <w:t xml:space="preserve"> hacia una norma</w:t>
            </w:r>
            <w:r w:rsidR="00A2573F">
              <w:rPr>
                <w:rFonts w:ascii="Arial" w:hAnsi="Arial" w:cs="Arial"/>
                <w:sz w:val="28"/>
                <w:szCs w:val="28"/>
              </w:rPr>
              <w:t xml:space="preserve"> jurídica o administrativa será la sanción que se reciba, en nuestro estado contamos con:</w:t>
            </w:r>
          </w:p>
          <w:p w:rsidR="00A2573F" w:rsidRDefault="00A2573F" w:rsidP="00A2573F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Constitución Política del Estado de Chiapas.</w:t>
            </w:r>
          </w:p>
          <w:p w:rsidR="00A2573F" w:rsidRDefault="00A2573F" w:rsidP="00A2573F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Ley  de Responsabilidades de los servidores públicos del estado de Chiapas.</w:t>
            </w:r>
          </w:p>
          <w:p w:rsidR="00A2573F" w:rsidRDefault="00A2573F" w:rsidP="00A2573F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Ley de Fiscalización Superior del Estado de Chiapas.</w:t>
            </w:r>
          </w:p>
          <w:p w:rsidR="00A2573F" w:rsidRDefault="00A2573F" w:rsidP="00E54D1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Entre otras.</w:t>
            </w:r>
          </w:p>
          <w:p w:rsidR="00D14214" w:rsidRDefault="00D14214" w:rsidP="00E54D1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14214" w:rsidRDefault="00D14214" w:rsidP="00E54D16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61D5D" w:rsidRDefault="0019296E" w:rsidP="0019296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</w:p>
    <w:p w:rsidR="00A645FB" w:rsidRDefault="00A645FB" w:rsidP="0019296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19296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6.-Participacion Ciudadana Activa.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4"/>
        <w:gridCol w:w="4350"/>
      </w:tblGrid>
      <w:tr w:rsidR="00A2573F" w:rsidTr="00A2573F">
        <w:tc>
          <w:tcPr>
            <w:tcW w:w="4489" w:type="dxa"/>
          </w:tcPr>
          <w:p w:rsidR="00A2573F" w:rsidRPr="0019296E" w:rsidRDefault="00A2573F" w:rsidP="0019296E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19296E">
              <w:rPr>
                <w:rFonts w:ascii="Arial" w:hAnsi="Arial" w:cs="Arial"/>
                <w:sz w:val="28"/>
                <w:szCs w:val="28"/>
              </w:rPr>
              <w:t>La sociedad civil tiene la capacidad de organizarse para ejercer un control ciudadano.</w:t>
            </w:r>
          </w:p>
        </w:tc>
        <w:tc>
          <w:tcPr>
            <w:tcW w:w="4489" w:type="dxa"/>
          </w:tcPr>
          <w:p w:rsidR="00A2573F" w:rsidRDefault="0019296E" w:rsidP="0019296E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 participación social es un derecho y obligación de todos los ciudadanos, el gobierno del estado necesita que todos los ciudadanos se unan y participen activamente en la solución de sus necesidades y apoyen el desarrollo de los diversos programas sociales, siendo estos  los encargados de la vigilancia y ejecución de los mismos.</w:t>
            </w:r>
          </w:p>
        </w:tc>
      </w:tr>
    </w:tbl>
    <w:p w:rsidR="00A2573F" w:rsidRDefault="00A2573F" w:rsidP="004D6BD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4B669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7.- Marco Legal completo para la Rendición de Cuentas.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8"/>
        <w:gridCol w:w="4346"/>
      </w:tblGrid>
      <w:tr w:rsidR="00F93941" w:rsidTr="0019296E">
        <w:tc>
          <w:tcPr>
            <w:tcW w:w="4489" w:type="dxa"/>
          </w:tcPr>
          <w:p w:rsidR="0019296E" w:rsidRDefault="00C42256" w:rsidP="004B6698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Las EFS velaran por la implementación, fortalecimiento actualización continua y la aplicación de un marco normativo completo</w:t>
            </w:r>
            <w:r w:rsidR="00F93941">
              <w:rPr>
                <w:rFonts w:ascii="Arial" w:hAnsi="Arial" w:cs="Arial"/>
                <w:sz w:val="28"/>
                <w:szCs w:val="28"/>
              </w:rPr>
              <w:t>, que regle la rendición de cuentas de forma permanente.</w:t>
            </w:r>
          </w:p>
        </w:tc>
        <w:tc>
          <w:tcPr>
            <w:tcW w:w="4489" w:type="dxa"/>
          </w:tcPr>
          <w:p w:rsidR="0019296E" w:rsidRDefault="00F93941" w:rsidP="004D6BDE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Constitución política </w:t>
            </w:r>
            <w:r w:rsidR="004D6BDE">
              <w:rPr>
                <w:rFonts w:ascii="Arial" w:hAnsi="Arial" w:cs="Arial"/>
                <w:sz w:val="28"/>
                <w:szCs w:val="28"/>
              </w:rPr>
              <w:t xml:space="preserve">de los Estados Unidos Mexicanos, </w:t>
            </w:r>
          </w:p>
          <w:p w:rsidR="00F93941" w:rsidRDefault="00F93941" w:rsidP="004D6BDE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Constitución Política del Estado de Chiapas.</w:t>
            </w:r>
            <w:r w:rsidR="004D6BD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F93941" w:rsidRDefault="00F93941" w:rsidP="004D6BDE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Ley Orgánica del H. congreso de Chiapas.</w:t>
            </w:r>
          </w:p>
          <w:p w:rsidR="00F93941" w:rsidRDefault="00F93941" w:rsidP="004D6BDE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Ley Orgánica de la Contaduría Mayor del H. Congreso del Estado de Chiapas</w:t>
            </w:r>
          </w:p>
          <w:p w:rsidR="004D6BDE" w:rsidRDefault="00F93941" w:rsidP="004D6BDE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Ley de Fiscalización </w:t>
            </w:r>
            <w:r w:rsidR="00E86657">
              <w:rPr>
                <w:rFonts w:ascii="Arial" w:hAnsi="Arial" w:cs="Arial"/>
                <w:sz w:val="28"/>
                <w:szCs w:val="28"/>
              </w:rPr>
              <w:t xml:space="preserve">Superior </w:t>
            </w:r>
            <w:r>
              <w:rPr>
                <w:rFonts w:ascii="Arial" w:hAnsi="Arial" w:cs="Arial"/>
                <w:sz w:val="28"/>
                <w:szCs w:val="28"/>
              </w:rPr>
              <w:t>del Estado de Chiapas</w:t>
            </w:r>
            <w:r w:rsidR="004D6BDE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F93941" w:rsidRDefault="004D6BDE" w:rsidP="004D6BDE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 Chiapas los municipios </w:t>
            </w:r>
            <w:r w:rsidR="00F9394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regulan su gestión financiera través de la Ley General de  Contabilidad Gubernamental.</w:t>
            </w:r>
          </w:p>
          <w:p w:rsidR="004D6BDE" w:rsidRDefault="001A36A5" w:rsidP="004D6BDE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E</w:t>
            </w:r>
            <w:r w:rsidR="004D6BDE">
              <w:rPr>
                <w:rFonts w:ascii="Arial" w:hAnsi="Arial" w:cs="Arial"/>
                <w:sz w:val="28"/>
                <w:szCs w:val="28"/>
              </w:rPr>
              <w:t>n materia de rendición de cuentas se ajusta a la legislación federal, como por ejemplo la presentación y aprobación anual de la ley de ingresos y el presupuesto de egresos, la revisión de la cuenta pública</w:t>
            </w:r>
            <w:r w:rsidR="005965E8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4D6BDE">
              <w:rPr>
                <w:rFonts w:ascii="Arial" w:hAnsi="Arial" w:cs="Arial"/>
                <w:sz w:val="28"/>
                <w:szCs w:val="28"/>
              </w:rPr>
              <w:t xml:space="preserve"> así como la declaración patrimonial de los servidores públicos.</w:t>
            </w:r>
          </w:p>
          <w:p w:rsidR="004D6BDE" w:rsidRDefault="004D6BDE" w:rsidP="004B6698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965E8" w:rsidRDefault="005965E8" w:rsidP="00361D5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A1F59" w:rsidRDefault="005A1F59" w:rsidP="004B669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8.- Liderazgo de las EFS.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54"/>
        <w:gridCol w:w="4340"/>
      </w:tblGrid>
      <w:tr w:rsidR="009D5C37" w:rsidTr="004D6BDE">
        <w:tc>
          <w:tcPr>
            <w:tcW w:w="4489" w:type="dxa"/>
          </w:tcPr>
          <w:p w:rsidR="004D6BDE" w:rsidRDefault="005965E8" w:rsidP="005965E8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Las EFS deberán constituirse en promotores de los principios, sistemas, mejoras, prácticas y mecanismos eficientes</w:t>
            </w:r>
            <w:r w:rsidR="00C4590E">
              <w:rPr>
                <w:rFonts w:ascii="Arial" w:hAnsi="Arial" w:cs="Arial"/>
                <w:sz w:val="28"/>
                <w:szCs w:val="28"/>
              </w:rPr>
              <w:t xml:space="preserve"> de rendición de cuentas y ser vigilantes junto con el gobierno, otras agencias y la sociedad civil, su buen funcionamiento y mejora continua</w:t>
            </w:r>
            <w:r w:rsidR="00CA7E18">
              <w:rPr>
                <w:rFonts w:ascii="Arial" w:hAnsi="Arial" w:cs="Arial"/>
                <w:sz w:val="28"/>
                <w:szCs w:val="28"/>
              </w:rPr>
              <w:t>, mediante el establecimiento de acciones concretas para contribuir al fortalecimiento del sistema en procura del buen gobierno.</w:t>
            </w:r>
            <w:r w:rsidR="00C4590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489" w:type="dxa"/>
          </w:tcPr>
          <w:p w:rsidR="00E77B41" w:rsidRDefault="009365CB" w:rsidP="0035645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</w:t>
            </w:r>
            <w:r w:rsidR="009D5C37">
              <w:rPr>
                <w:rFonts w:ascii="Arial" w:hAnsi="Arial" w:cs="Arial"/>
                <w:sz w:val="28"/>
                <w:szCs w:val="28"/>
              </w:rPr>
              <w:t xml:space="preserve"> asegurar que las </w:t>
            </w:r>
            <w:r>
              <w:rPr>
                <w:rFonts w:ascii="Arial" w:hAnsi="Arial" w:cs="Arial"/>
                <w:sz w:val="28"/>
                <w:szCs w:val="28"/>
              </w:rPr>
              <w:t>prácticas</w:t>
            </w:r>
            <w:r w:rsidR="009D5C37">
              <w:rPr>
                <w:rFonts w:ascii="Arial" w:hAnsi="Arial" w:cs="Arial"/>
                <w:sz w:val="28"/>
                <w:szCs w:val="28"/>
              </w:rPr>
              <w:t xml:space="preserve"> del gobierno se ejecuten de manera eficaz y eficiente es necesario contar con una buena fiscalización. </w:t>
            </w:r>
          </w:p>
          <w:p w:rsidR="004D6BDE" w:rsidRDefault="00E77B41" w:rsidP="0035645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 México  a nivel Federal contamos con la Auditoria Superior de la Federación y en Chiapas tenemos el Órgano de Fiscalización Superior</w:t>
            </w:r>
            <w:r w:rsidR="000E7246">
              <w:rPr>
                <w:rFonts w:ascii="Arial" w:hAnsi="Arial" w:cs="Arial"/>
                <w:sz w:val="28"/>
                <w:szCs w:val="28"/>
              </w:rPr>
              <w:t xml:space="preserve"> del Congreso del Estado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E7246">
              <w:rPr>
                <w:rFonts w:ascii="Arial" w:hAnsi="Arial" w:cs="Arial"/>
                <w:sz w:val="28"/>
                <w:szCs w:val="28"/>
              </w:rPr>
              <w:t>el cual revisa y fiscaliza las cuentas públicas del estados y sus municipios teniendo como principal objetivo la</w:t>
            </w:r>
            <w:r w:rsidR="009D5C37">
              <w:rPr>
                <w:rFonts w:ascii="Arial" w:hAnsi="Arial" w:cs="Arial"/>
                <w:sz w:val="28"/>
                <w:szCs w:val="28"/>
              </w:rPr>
              <w:t xml:space="preserve"> transparencia</w:t>
            </w:r>
            <w:r w:rsidR="000E7246">
              <w:rPr>
                <w:rFonts w:ascii="Arial" w:hAnsi="Arial" w:cs="Arial"/>
                <w:sz w:val="28"/>
                <w:szCs w:val="28"/>
              </w:rPr>
              <w:t xml:space="preserve"> en todos los actos fiscales. L</w:t>
            </w:r>
            <w:r w:rsidR="00FD5A8A">
              <w:rPr>
                <w:rFonts w:ascii="Arial" w:hAnsi="Arial" w:cs="Arial"/>
                <w:sz w:val="28"/>
                <w:szCs w:val="28"/>
              </w:rPr>
              <w:t>a fiscalización superior es una herramienta efectiva para el mejoramiento de los gobiernos.</w:t>
            </w:r>
          </w:p>
        </w:tc>
      </w:tr>
    </w:tbl>
    <w:p w:rsidR="004D6BDE" w:rsidRDefault="004D6BDE" w:rsidP="004B6698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:rsidR="005A1F59" w:rsidRDefault="00A645FB" w:rsidP="00A645FB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Referencias Bibliográficas.</w:t>
      </w:r>
    </w:p>
    <w:p w:rsidR="00A645FB" w:rsidRDefault="00A645FB" w:rsidP="00A645FB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</w:p>
    <w:p w:rsidR="00A645FB" w:rsidRPr="00A645FB" w:rsidRDefault="004B4B1C" w:rsidP="00A645FB">
      <w:pPr>
        <w:numPr>
          <w:ilvl w:val="0"/>
          <w:numId w:val="2"/>
        </w:numPr>
        <w:pBdr>
          <w:bottom w:val="dotted" w:sz="8" w:space="0" w:color="CCCCCC"/>
        </w:pBdr>
        <w:spacing w:before="187" w:after="187" w:line="360" w:lineRule="auto"/>
        <w:jc w:val="both"/>
        <w:outlineLvl w:val="1"/>
      </w:pPr>
      <w:hyperlink r:id="rId7" w:history="1">
        <w:r w:rsidR="00A645FB" w:rsidRPr="00055B18">
          <w:rPr>
            <w:rStyle w:val="Hipervnculo"/>
            <w:rFonts w:ascii="Arial" w:hAnsi="Arial" w:cs="Arial"/>
            <w:sz w:val="24"/>
            <w:szCs w:val="24"/>
          </w:rPr>
          <w:t>http://www.olacefs.com/declaracion-de-asuncion-principios-sobre-rendicion-de-cuentas/</w:t>
        </w:r>
      </w:hyperlink>
    </w:p>
    <w:p w:rsidR="00A645FB" w:rsidRPr="00D338AB" w:rsidRDefault="00A645FB" w:rsidP="00A645FB">
      <w:pPr>
        <w:numPr>
          <w:ilvl w:val="0"/>
          <w:numId w:val="2"/>
        </w:numPr>
        <w:pBdr>
          <w:bottom w:val="dotted" w:sz="8" w:space="0" w:color="CCCCCC"/>
        </w:pBdr>
        <w:spacing w:before="187" w:after="187" w:line="360" w:lineRule="auto"/>
        <w:jc w:val="both"/>
        <w:outlineLvl w:val="1"/>
      </w:pPr>
      <w:r w:rsidRPr="00A645FB">
        <w:t>http://www.ofscechiapas.gob.mx/</w:t>
      </w:r>
    </w:p>
    <w:p w:rsidR="00A645FB" w:rsidRPr="00A645FB" w:rsidRDefault="00F200DB" w:rsidP="00F200D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200DB">
        <w:rPr>
          <w:rFonts w:ascii="Arial" w:hAnsi="Arial" w:cs="Arial"/>
          <w:sz w:val="28"/>
          <w:szCs w:val="28"/>
        </w:rPr>
        <w:t>http://www.chiapas.gob.mx/funcionarios/estatal/legislativo/organo-superior</w:t>
      </w:r>
    </w:p>
    <w:p w:rsidR="0045106B" w:rsidRDefault="0045106B" w:rsidP="00B67FAB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B67FAB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B67FAB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B67FAB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B6698" w:rsidRDefault="004B6698" w:rsidP="00B67FAB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B67FAB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Default="004B6698" w:rsidP="00B67FAB">
      <w:pPr>
        <w:pStyle w:val="Prrafodelista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4B6698" w:rsidRPr="004B6698" w:rsidRDefault="004B6698" w:rsidP="004B669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695990" w:rsidRPr="00BA4041" w:rsidRDefault="00695990" w:rsidP="00695990">
      <w:pPr>
        <w:rPr>
          <w:sz w:val="28"/>
          <w:szCs w:val="28"/>
        </w:rPr>
      </w:pPr>
    </w:p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695990" w:rsidRDefault="00695990" w:rsidP="00695990"/>
    <w:p w:rsidR="00AA39F2" w:rsidRPr="00695990" w:rsidRDefault="00695990" w:rsidP="00695990">
      <w:r>
        <w:t xml:space="preserve">LISIS DE </w:t>
      </w:r>
    </w:p>
    <w:sectPr w:rsidR="00AA39F2" w:rsidRPr="00695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1B95"/>
    <w:multiLevelType w:val="hybridMultilevel"/>
    <w:tmpl w:val="D80C05B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F1836"/>
    <w:multiLevelType w:val="hybridMultilevel"/>
    <w:tmpl w:val="803AB8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93E37"/>
    <w:multiLevelType w:val="hybridMultilevel"/>
    <w:tmpl w:val="9786965E"/>
    <w:lvl w:ilvl="0" w:tplc="25964DDE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AE"/>
    <w:rsid w:val="000143BF"/>
    <w:rsid w:val="0006198C"/>
    <w:rsid w:val="000C5AD8"/>
    <w:rsid w:val="000C6B0D"/>
    <w:rsid w:val="000E7246"/>
    <w:rsid w:val="001657CC"/>
    <w:rsid w:val="00171DE6"/>
    <w:rsid w:val="00185C05"/>
    <w:rsid w:val="0019296E"/>
    <w:rsid w:val="001A36A5"/>
    <w:rsid w:val="001C2941"/>
    <w:rsid w:val="001D359F"/>
    <w:rsid w:val="001D3B40"/>
    <w:rsid w:val="001E4ED7"/>
    <w:rsid w:val="00212AD2"/>
    <w:rsid w:val="00237995"/>
    <w:rsid w:val="00290E1A"/>
    <w:rsid w:val="002971AE"/>
    <w:rsid w:val="002A335C"/>
    <w:rsid w:val="003122A4"/>
    <w:rsid w:val="0035645A"/>
    <w:rsid w:val="00361D5D"/>
    <w:rsid w:val="003666E6"/>
    <w:rsid w:val="003A756C"/>
    <w:rsid w:val="003D5522"/>
    <w:rsid w:val="003F17FF"/>
    <w:rsid w:val="003F6AE4"/>
    <w:rsid w:val="00415C65"/>
    <w:rsid w:val="00432A7E"/>
    <w:rsid w:val="0045106B"/>
    <w:rsid w:val="00452D55"/>
    <w:rsid w:val="00471908"/>
    <w:rsid w:val="004916C5"/>
    <w:rsid w:val="004B4B1C"/>
    <w:rsid w:val="004B6698"/>
    <w:rsid w:val="004D6BDE"/>
    <w:rsid w:val="005624AF"/>
    <w:rsid w:val="0058379F"/>
    <w:rsid w:val="005965E8"/>
    <w:rsid w:val="005A1F59"/>
    <w:rsid w:val="005D616C"/>
    <w:rsid w:val="0061510F"/>
    <w:rsid w:val="00674991"/>
    <w:rsid w:val="00695990"/>
    <w:rsid w:val="0070422A"/>
    <w:rsid w:val="007371A8"/>
    <w:rsid w:val="007B4732"/>
    <w:rsid w:val="007B4EA6"/>
    <w:rsid w:val="007C64B6"/>
    <w:rsid w:val="0081181E"/>
    <w:rsid w:val="008118B7"/>
    <w:rsid w:val="0089716F"/>
    <w:rsid w:val="008D60A9"/>
    <w:rsid w:val="008E5AEE"/>
    <w:rsid w:val="009038E5"/>
    <w:rsid w:val="009365CB"/>
    <w:rsid w:val="00994627"/>
    <w:rsid w:val="009B144E"/>
    <w:rsid w:val="009D5C37"/>
    <w:rsid w:val="00A1406D"/>
    <w:rsid w:val="00A2573F"/>
    <w:rsid w:val="00A645FB"/>
    <w:rsid w:val="00AA2E5D"/>
    <w:rsid w:val="00AA39F2"/>
    <w:rsid w:val="00AB399F"/>
    <w:rsid w:val="00AC4D77"/>
    <w:rsid w:val="00B1659F"/>
    <w:rsid w:val="00B62A41"/>
    <w:rsid w:val="00B67FAB"/>
    <w:rsid w:val="00BA4041"/>
    <w:rsid w:val="00BC435A"/>
    <w:rsid w:val="00BC62D2"/>
    <w:rsid w:val="00C00A11"/>
    <w:rsid w:val="00C42256"/>
    <w:rsid w:val="00C4590E"/>
    <w:rsid w:val="00CA7E18"/>
    <w:rsid w:val="00CB55BF"/>
    <w:rsid w:val="00CC5D9E"/>
    <w:rsid w:val="00CD4E70"/>
    <w:rsid w:val="00D05D18"/>
    <w:rsid w:val="00D14214"/>
    <w:rsid w:val="00D42EE4"/>
    <w:rsid w:val="00D447DD"/>
    <w:rsid w:val="00D911BD"/>
    <w:rsid w:val="00DD241C"/>
    <w:rsid w:val="00E264EC"/>
    <w:rsid w:val="00E470B7"/>
    <w:rsid w:val="00E54D16"/>
    <w:rsid w:val="00E57C24"/>
    <w:rsid w:val="00E77B41"/>
    <w:rsid w:val="00E86657"/>
    <w:rsid w:val="00F04CC0"/>
    <w:rsid w:val="00F200DB"/>
    <w:rsid w:val="00F2714E"/>
    <w:rsid w:val="00F610CB"/>
    <w:rsid w:val="00F74B1D"/>
    <w:rsid w:val="00F74FD7"/>
    <w:rsid w:val="00F93941"/>
    <w:rsid w:val="00FD5A8A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71A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1A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1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10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D14214"/>
  </w:style>
  <w:style w:type="character" w:styleId="Hipervnculo">
    <w:name w:val="Hyperlink"/>
    <w:basedOn w:val="Fuentedeprrafopredeter"/>
    <w:uiPriority w:val="99"/>
    <w:semiHidden/>
    <w:unhideWhenUsed/>
    <w:rsid w:val="00D142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71A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1A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1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10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1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D14214"/>
  </w:style>
  <w:style w:type="character" w:styleId="Hipervnculo">
    <w:name w:val="Hyperlink"/>
    <w:basedOn w:val="Fuentedeprrafopredeter"/>
    <w:uiPriority w:val="99"/>
    <w:semiHidden/>
    <w:unhideWhenUsed/>
    <w:rsid w:val="00D14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lacefs.com/declaracion-de-asuncion-principios-sobre-rendicion-de-cuent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72</cp:revision>
  <dcterms:created xsi:type="dcterms:W3CDTF">2016-01-31T20:55:00Z</dcterms:created>
  <dcterms:modified xsi:type="dcterms:W3CDTF">2016-02-01T02:05:00Z</dcterms:modified>
</cp:coreProperties>
</file>