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76" w:rsidRDefault="00876E76" w:rsidP="00876E76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3836670</wp:posOffset>
            </wp:positionH>
            <wp:positionV relativeFrom="paragraph">
              <wp:posOffset>-205740</wp:posOffset>
            </wp:positionV>
            <wp:extent cx="1809750" cy="676275"/>
            <wp:effectExtent l="19050" t="0" r="0" b="0"/>
            <wp:wrapSquare wrapText="bothSides"/>
            <wp:docPr id="3" name="Imagen 1" descr="https://encrypted-tbn2.gstatic.com/images?q=tbn:ANd9GcQOwhIjGB2l9IH1TJfa0qkxdt96kp9qesL-l_kSJ1u02vTTT6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E76" w:rsidRDefault="00876E76" w:rsidP="00876E76">
      <w:pPr>
        <w:tabs>
          <w:tab w:val="left" w:pos="2129"/>
          <w:tab w:val="center" w:pos="3312"/>
          <w:tab w:val="left" w:pos="376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E76" w:rsidRDefault="00876E76" w:rsidP="00876E76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E76" w:rsidRDefault="00876E76" w:rsidP="00876E76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b/>
          <w:sz w:val="24"/>
          <w:szCs w:val="24"/>
        </w:rPr>
        <w:t>Maestría En Administración Y Políticas Públicas</w:t>
      </w:r>
    </w:p>
    <w:p w:rsidR="00876E76" w:rsidRDefault="00876E76" w:rsidP="00876E76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E76" w:rsidRDefault="00876E76" w:rsidP="00876E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insideH w:val="single" w:sz="6" w:space="0" w:color="72B76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7"/>
        <w:gridCol w:w="6771"/>
      </w:tblGrid>
      <w:tr w:rsidR="00876E76" w:rsidRPr="004E667D" w:rsidTr="003056B6">
        <w:tc>
          <w:tcPr>
            <w:tcW w:w="0" w:type="auto"/>
            <w:vAlign w:val="center"/>
            <w:hideMark/>
          </w:tcPr>
          <w:p w:rsidR="00876E76" w:rsidRPr="004E667D" w:rsidRDefault="00876E76" w:rsidP="00305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747E">
              <w:rPr>
                <w:rFonts w:ascii="Arial" w:hAnsi="Arial" w:cs="Arial"/>
                <w:sz w:val="24"/>
                <w:szCs w:val="24"/>
              </w:rPr>
              <w:tab/>
              <w:t xml:space="preserve">Materia: </w:t>
            </w:r>
          </w:p>
        </w:tc>
        <w:tc>
          <w:tcPr>
            <w:tcW w:w="0" w:type="auto"/>
            <w:vAlign w:val="center"/>
            <w:hideMark/>
          </w:tcPr>
          <w:p w:rsidR="00876E76" w:rsidRPr="004E667D" w:rsidRDefault="00876E76" w:rsidP="0030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E667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Y ANÁLISIS DE POLÍTICAS PÚBLICAS</w:t>
            </w:r>
          </w:p>
        </w:tc>
      </w:tr>
    </w:tbl>
    <w:p w:rsidR="00876E76" w:rsidRDefault="00876E76" w:rsidP="00876E76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76E76" w:rsidRDefault="00876E76" w:rsidP="00876E76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76E76" w:rsidRPr="00E5747E" w:rsidRDefault="00876E76" w:rsidP="00876E76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76E76" w:rsidRDefault="00876E76" w:rsidP="00876E76">
      <w:pPr>
        <w:pStyle w:val="Default"/>
        <w:rPr>
          <w:rFonts w:ascii="Arial" w:hAnsi="Arial" w:cs="Arial"/>
          <w:b/>
          <w:color w:val="222222"/>
        </w:rPr>
      </w:pPr>
      <w:r w:rsidRPr="00E5747E">
        <w:tab/>
      </w:r>
      <w:r>
        <w:rPr>
          <w:rFonts w:ascii="Arial" w:hAnsi="Arial" w:cs="Arial"/>
          <w:b/>
          <w:color w:val="222222"/>
        </w:rPr>
        <w:t>Dra. C. Odalys Peñate López</w:t>
      </w:r>
    </w:p>
    <w:p w:rsidR="00876E76" w:rsidRDefault="00876E76" w:rsidP="00876E76">
      <w:pPr>
        <w:pStyle w:val="Default"/>
        <w:rPr>
          <w:rFonts w:ascii="Arial" w:hAnsi="Arial" w:cs="Arial"/>
          <w:b/>
          <w:color w:val="222222"/>
        </w:rPr>
      </w:pPr>
    </w:p>
    <w:p w:rsidR="00876E76" w:rsidRDefault="00876E76" w:rsidP="00876E76">
      <w:pPr>
        <w:pStyle w:val="Default"/>
        <w:rPr>
          <w:rFonts w:ascii="Arial" w:hAnsi="Arial" w:cs="Arial"/>
          <w:b/>
          <w:color w:val="222222"/>
        </w:rPr>
      </w:pPr>
    </w:p>
    <w:p w:rsidR="00876E76" w:rsidRDefault="00876E76" w:rsidP="00876E76">
      <w:pPr>
        <w:pStyle w:val="Default"/>
        <w:rPr>
          <w:rFonts w:ascii="Arial" w:hAnsi="Arial" w:cs="Arial"/>
          <w:b/>
          <w:color w:val="222222"/>
        </w:rPr>
      </w:pPr>
    </w:p>
    <w:p w:rsidR="00876E76" w:rsidRDefault="00876E76" w:rsidP="00876E76">
      <w:pPr>
        <w:pStyle w:val="Default"/>
        <w:rPr>
          <w:rFonts w:ascii="Arial" w:hAnsi="Arial" w:cs="Arial"/>
          <w:b/>
          <w:color w:val="222222"/>
        </w:rPr>
      </w:pPr>
    </w:p>
    <w:p w:rsidR="00876E76" w:rsidRPr="006E2C92" w:rsidRDefault="00876E76" w:rsidP="00876E76">
      <w:pPr>
        <w:pStyle w:val="Default"/>
        <w:rPr>
          <w:rFonts w:ascii="Arial" w:hAnsi="Arial" w:cs="Arial"/>
          <w:b/>
          <w:color w:val="222222"/>
        </w:rPr>
      </w:pPr>
    </w:p>
    <w:p w:rsidR="00876E76" w:rsidRPr="00E5747E" w:rsidRDefault="00876E76" w:rsidP="00876E76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76E76" w:rsidRPr="00E5747E" w:rsidRDefault="00876E76" w:rsidP="00876E76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sz w:val="24"/>
          <w:szCs w:val="24"/>
        </w:rPr>
        <w:tab/>
        <w:t xml:space="preserve">Maestrante: </w:t>
      </w:r>
      <w:r w:rsidRPr="00E5747E">
        <w:rPr>
          <w:rFonts w:ascii="Arial" w:hAnsi="Arial" w:cs="Arial"/>
          <w:b/>
          <w:sz w:val="24"/>
          <w:szCs w:val="24"/>
        </w:rPr>
        <w:t>L.A.E. Sandra Anahi López Gordillo</w:t>
      </w:r>
    </w:p>
    <w:p w:rsidR="00876E76" w:rsidRDefault="00876E76" w:rsidP="00876E76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b/>
          <w:sz w:val="24"/>
          <w:szCs w:val="24"/>
        </w:rPr>
        <w:tab/>
      </w:r>
      <w:r w:rsidRPr="00E5747E">
        <w:rPr>
          <w:rFonts w:ascii="Arial" w:hAnsi="Arial" w:cs="Arial"/>
          <w:b/>
          <w:sz w:val="24"/>
          <w:szCs w:val="24"/>
        </w:rPr>
        <w:tab/>
      </w:r>
      <w:r w:rsidRPr="00E5747E">
        <w:rPr>
          <w:rFonts w:ascii="Arial" w:hAnsi="Arial" w:cs="Arial"/>
          <w:b/>
          <w:sz w:val="24"/>
          <w:szCs w:val="24"/>
        </w:rPr>
        <w:tab/>
      </w:r>
    </w:p>
    <w:p w:rsidR="00876E76" w:rsidRDefault="00876E76" w:rsidP="00876E76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E76" w:rsidRDefault="00876E76" w:rsidP="00876E76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E76" w:rsidRDefault="00876E76" w:rsidP="00876E76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E76" w:rsidRDefault="00876E76" w:rsidP="00876E76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Tapachula, Chiapas a 23 de mayo de 2015</w:t>
      </w:r>
    </w:p>
    <w:p w:rsidR="00876E76" w:rsidRDefault="00876E76" w:rsidP="00AD5F8B">
      <w:pPr>
        <w:spacing w:line="360" w:lineRule="auto"/>
        <w:jc w:val="both"/>
        <w:rPr>
          <w:rFonts w:ascii="Arial" w:hAnsi="Arial" w:cs="Arial"/>
          <w:lang w:val="es-ES"/>
        </w:rPr>
      </w:pPr>
    </w:p>
    <w:p w:rsidR="00876E76" w:rsidRDefault="00876E76" w:rsidP="00AD5F8B">
      <w:pPr>
        <w:spacing w:line="360" w:lineRule="auto"/>
        <w:jc w:val="both"/>
        <w:rPr>
          <w:rFonts w:ascii="Arial" w:hAnsi="Arial" w:cs="Arial"/>
          <w:lang w:val="es-ES"/>
        </w:rPr>
      </w:pPr>
    </w:p>
    <w:p w:rsidR="00AD5F8B" w:rsidRDefault="00876E76" w:rsidP="00876E76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ANALISIS DEL METODO ELECTRA</w:t>
      </w:r>
    </w:p>
    <w:p w:rsidR="00AD5F8B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br/>
        <w:t>En el ámbito de las empresas es interesante la utilización de los llamados métodos</w:t>
      </w:r>
      <w:r w:rsidRPr="00AD5F8B">
        <w:rPr>
          <w:rFonts w:ascii="Arial" w:hAnsi="Arial" w:cs="Arial"/>
          <w:lang w:val="es-ES"/>
        </w:rPr>
        <w:br/>
        <w:t>multicriterio de sobre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clasificación porque en ellos no hay preferencia por una o varias</w:t>
      </w:r>
      <w:r w:rsidRPr="00AD5F8B">
        <w:rPr>
          <w:rFonts w:ascii="Arial" w:hAnsi="Arial" w:cs="Arial"/>
          <w:lang w:val="es-ES"/>
        </w:rPr>
        <w:br/>
        <w:t>alternativas de solución mientras no hay indicio racional de su existencia. Además, aun siendo un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poco pobres en cuanto a sus axiomas iniciales, ello se compensa con un mayor acercamiento a la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realidad, al permitir una interpretación más ambigua y flexible de sus resultados.</w:t>
      </w:r>
      <w:r w:rsidRPr="00AD5F8B">
        <w:rPr>
          <w:rFonts w:ascii="Arial" w:hAnsi="Arial" w:cs="Arial"/>
          <w:lang w:val="es-ES"/>
        </w:rPr>
        <w:br/>
        <w:t>De entre los diferentes métodos multicriterio de sobre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clasificación se presenta a continuación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el de mayor sencillez y aplicabilidad: el método Electra I. El objetivo principal del método es la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partición del conjunto de alternativas viables (alternativas superiores y alternativas inferiores).</w:t>
      </w:r>
    </w:p>
    <w:p w:rsidR="00AD5F8B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br/>
        <w:t>I) FUNDAMENTOS DEL MÉTODO ELECTRA I</w:t>
      </w:r>
    </w:p>
    <w:p w:rsidR="00AD5F8B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El método incorpora dos pruebas o test para determinar si existen o no los suficientes</w:t>
      </w:r>
      <w:r w:rsidRPr="00AD5F8B">
        <w:rPr>
          <w:rFonts w:ascii="Arial" w:hAnsi="Arial" w:cs="Arial"/>
          <w:lang w:val="es-ES"/>
        </w:rPr>
        <w:br/>
        <w:t>argumentos, basándonos en la información disponible, para considerar que se puede establecer,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sin demasiado riesgo de equivocarse, que una alternativa es superior o no a otra.</w:t>
      </w:r>
    </w:p>
    <w:p w:rsidR="00521EA4" w:rsidRPr="00AD5F8B" w:rsidRDefault="00AD5F8B" w:rsidP="00521EA4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 xml:space="preserve"> </w:t>
      </w:r>
    </w:p>
    <w:p w:rsidR="00AD5F8B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II) PRUEBA DE CONCORDANCIA</w:t>
      </w:r>
    </w:p>
    <w:p w:rsidR="00AD5F8B" w:rsidRDefault="00AD5F8B" w:rsidP="000C6C86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Se orienta a establecer si,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eastAsia="Times New Roman" w:hAnsi="Arial" w:cs="Arial"/>
          <w:lang w:val="es-ES" w:eastAsia="es-MX"/>
        </w:rPr>
        <w:t>en una mayoría de criterios, una alternativa es al menos tan buena</w:t>
      </w:r>
      <w:r>
        <w:rPr>
          <w:rFonts w:ascii="Arial" w:eastAsia="Times New Roman" w:hAnsi="Arial" w:cs="Arial"/>
          <w:lang w:val="es-ES" w:eastAsia="es-MX"/>
        </w:rPr>
        <w:t xml:space="preserve"> </w:t>
      </w:r>
      <w:r w:rsidRPr="00AD5F8B">
        <w:rPr>
          <w:rFonts w:ascii="Arial" w:eastAsia="Times New Roman" w:hAnsi="Arial" w:cs="Arial"/>
          <w:lang w:val="es-ES" w:eastAsia="es-MX"/>
        </w:rPr>
        <w:t>como otra. Si una alternativa cualquiera del conjunto de alternativas viables A es valorada mejor,</w:t>
      </w:r>
      <w:r>
        <w:rPr>
          <w:rFonts w:ascii="Arial" w:eastAsia="Times New Roman" w:hAnsi="Arial" w:cs="Arial"/>
          <w:lang w:val="es-ES" w:eastAsia="es-MX"/>
        </w:rPr>
        <w:t xml:space="preserve"> </w:t>
      </w:r>
      <w:r w:rsidRPr="00AD5F8B">
        <w:rPr>
          <w:rFonts w:ascii="Arial" w:eastAsia="Times New Roman" w:hAnsi="Arial" w:cs="Arial"/>
          <w:lang w:val="es-ES" w:eastAsia="es-MX"/>
        </w:rPr>
        <w:t>o, como mínimo, igual a otra alternativa de ese conjunto, tendremos ya una primera referencia</w:t>
      </w:r>
      <w:r>
        <w:rPr>
          <w:rFonts w:ascii="Arial" w:eastAsia="Times New Roman" w:hAnsi="Arial" w:cs="Arial"/>
          <w:lang w:val="es-ES" w:eastAsia="es-MX"/>
        </w:rPr>
        <w:t xml:space="preserve"> </w:t>
      </w:r>
      <w:r w:rsidRPr="00AD5F8B">
        <w:rPr>
          <w:rFonts w:ascii="Arial" w:eastAsia="Times New Roman" w:hAnsi="Arial" w:cs="Arial"/>
          <w:lang w:val="es-ES" w:eastAsia="es-MX"/>
        </w:rPr>
        <w:t>para sospechar que la primera alternativa es superior a la segunda.</w:t>
      </w:r>
      <w:r w:rsidRPr="00AD5F8B">
        <w:rPr>
          <w:rFonts w:ascii="Arial" w:eastAsia="Times New Roman" w:hAnsi="Arial" w:cs="Arial"/>
          <w:lang w:val="es-ES" w:eastAsia="es-MX"/>
        </w:rPr>
        <w:br/>
        <w:t>Electra I utiliza como instrumento para calcular la concordancia de dos alternativas, el</w:t>
      </w:r>
      <w:r w:rsidRPr="00AD5F8B">
        <w:rPr>
          <w:rFonts w:ascii="Arial" w:eastAsia="Times New Roman" w:hAnsi="Arial" w:cs="Arial"/>
          <w:lang w:val="es-ES" w:eastAsia="es-MX"/>
        </w:rPr>
        <w:br/>
        <w:t xml:space="preserve">denominado indicador de concordancia. </w:t>
      </w:r>
    </w:p>
    <w:p w:rsidR="00AD5F8B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III) PRUEBA DE DISCORDANCIA</w:t>
      </w:r>
    </w:p>
    <w:p w:rsidR="00AD5F8B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Para medir la importancia de las discordancias, Electra I utiliza otro indicador, que nos va a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 xml:space="preserve">registrar la importancia de las minusvaloraciones que se produzcan entre dos </w:t>
      </w:r>
      <w:r w:rsidRPr="00AD5F8B">
        <w:rPr>
          <w:rFonts w:ascii="Arial" w:hAnsi="Arial" w:cs="Arial"/>
          <w:lang w:val="es-ES"/>
        </w:rPr>
        <w:lastRenderedPageBreak/>
        <w:t xml:space="preserve">alternativas ah y </w:t>
      </w:r>
      <w:proofErr w:type="spellStart"/>
      <w:r w:rsidRPr="00AD5F8B">
        <w:rPr>
          <w:rFonts w:ascii="Arial" w:hAnsi="Arial" w:cs="Arial"/>
          <w:lang w:val="es-ES"/>
        </w:rPr>
        <w:t>ak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que se comparen en sentido directo. Se trata de observar qué fuerza discordante se presenta en los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 xml:space="preserve">criterios en que una alternativa ah es inferior a otra </w:t>
      </w:r>
      <w:proofErr w:type="spellStart"/>
      <w:r w:rsidRPr="00AD5F8B">
        <w:rPr>
          <w:rFonts w:ascii="Arial" w:hAnsi="Arial" w:cs="Arial"/>
          <w:lang w:val="es-ES"/>
        </w:rPr>
        <w:t>ak</w:t>
      </w:r>
      <w:proofErr w:type="spellEnd"/>
      <w:r w:rsidRPr="00AD5F8B">
        <w:rPr>
          <w:rFonts w:ascii="Arial" w:hAnsi="Arial" w:cs="Arial"/>
          <w:lang w:val="es-ES"/>
        </w:rPr>
        <w:t>.</w:t>
      </w:r>
      <w:r w:rsidRPr="00AD5F8B">
        <w:rPr>
          <w:rFonts w:ascii="Arial" w:hAnsi="Arial" w:cs="Arial"/>
          <w:lang w:val="es-ES"/>
        </w:rPr>
        <w:br/>
        <w:t xml:space="preserve">El indicador de discordancia de la alternativa ah respecto a </w:t>
      </w:r>
      <w:proofErr w:type="spellStart"/>
      <w:r w:rsidRPr="00AD5F8B">
        <w:rPr>
          <w:rFonts w:ascii="Arial" w:hAnsi="Arial" w:cs="Arial"/>
          <w:lang w:val="es-ES"/>
        </w:rPr>
        <w:t>ak</w:t>
      </w:r>
      <w:proofErr w:type="spellEnd"/>
      <w:r w:rsidRPr="00AD5F8B">
        <w:rPr>
          <w:rFonts w:ascii="Arial" w:hAnsi="Arial" w:cs="Arial"/>
          <w:lang w:val="es-ES"/>
        </w:rPr>
        <w:t xml:space="preserve"> será igual al mayor valor de los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 xml:space="preserve">cocientes (calculados para todos aquellos criterios en que ah presente un valor menor que </w:t>
      </w:r>
      <w:proofErr w:type="spellStart"/>
      <w:r w:rsidRPr="00AD5F8B">
        <w:rPr>
          <w:rFonts w:ascii="Arial" w:hAnsi="Arial" w:cs="Arial"/>
          <w:lang w:val="es-ES"/>
        </w:rPr>
        <w:t>ak</w:t>
      </w:r>
      <w:proofErr w:type="spellEnd"/>
      <w:r w:rsidRPr="00AD5F8B">
        <w:rPr>
          <w:rFonts w:ascii="Arial" w:hAnsi="Arial" w:cs="Arial"/>
          <w:lang w:val="es-ES"/>
        </w:rPr>
        <w:t>) entre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la divergencia de valoración y la amplitud total de la escala única y común considerada. El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indicador de discordancia mide la importancia relativa de la mayor discrepancia existente entre</w:t>
      </w:r>
      <w:r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todos los criterios.</w:t>
      </w:r>
    </w:p>
    <w:p w:rsidR="005668CF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IV) SÍNTESIS DE LAS PRUEBAS</w:t>
      </w:r>
    </w:p>
    <w:p w:rsidR="00521EA4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Con estos dos indicadores, Electra I considera si existe o no una relación de sobre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clasificación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entre cada pareja de alternativas. La argumentación lógica en que descansa el establecimiento de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una relación de este tipo, se puede sintetizar de esta manera: si una alternativa ah es igual o mejor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 xml:space="preserve">que otra </w:t>
      </w:r>
      <w:proofErr w:type="spellStart"/>
      <w:r w:rsidRPr="00AD5F8B">
        <w:rPr>
          <w:rFonts w:ascii="Arial" w:hAnsi="Arial" w:cs="Arial"/>
          <w:lang w:val="es-ES"/>
        </w:rPr>
        <w:t>ak</w:t>
      </w:r>
      <w:proofErr w:type="spellEnd"/>
      <w:r w:rsidRPr="00AD5F8B">
        <w:rPr>
          <w:rFonts w:ascii="Arial" w:hAnsi="Arial" w:cs="Arial"/>
          <w:lang w:val="es-ES"/>
        </w:rPr>
        <w:t xml:space="preserve"> en la mayoría de los criterios considerados y, además, en ningún criterio ah es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 xml:space="preserve">claramente inferior a </w:t>
      </w:r>
      <w:proofErr w:type="spellStart"/>
      <w:r w:rsidRPr="00AD5F8B">
        <w:rPr>
          <w:rFonts w:ascii="Arial" w:hAnsi="Arial" w:cs="Arial"/>
          <w:lang w:val="es-ES"/>
        </w:rPr>
        <w:t>ak</w:t>
      </w:r>
      <w:proofErr w:type="spellEnd"/>
      <w:r w:rsidRPr="00AD5F8B">
        <w:rPr>
          <w:rFonts w:ascii="Arial" w:hAnsi="Arial" w:cs="Arial"/>
          <w:lang w:val="es-ES"/>
        </w:rPr>
        <w:t xml:space="preserve">, podemos inferir, con suficiente fundamento que ah es “preferible” a </w:t>
      </w:r>
      <w:proofErr w:type="spellStart"/>
      <w:r w:rsidRPr="00AD5F8B">
        <w:rPr>
          <w:rFonts w:ascii="Arial" w:hAnsi="Arial" w:cs="Arial"/>
          <w:lang w:val="es-ES"/>
        </w:rPr>
        <w:t>ak</w:t>
      </w:r>
      <w:proofErr w:type="spellEnd"/>
      <w:r w:rsidRPr="00AD5F8B">
        <w:rPr>
          <w:rFonts w:ascii="Arial" w:hAnsi="Arial" w:cs="Arial"/>
          <w:lang w:val="es-ES"/>
        </w:rPr>
        <w:t>, o,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utilizando la terminología de ayuda a la decisión, que ah “</w:t>
      </w:r>
      <w:proofErr w:type="spellStart"/>
      <w:r w:rsidRPr="00AD5F8B">
        <w:rPr>
          <w:rFonts w:ascii="Arial" w:hAnsi="Arial" w:cs="Arial"/>
          <w:lang w:val="es-ES"/>
        </w:rPr>
        <w:t>sobreclasifica</w:t>
      </w:r>
      <w:proofErr w:type="spellEnd"/>
      <w:r w:rsidRPr="00AD5F8B">
        <w:rPr>
          <w:rFonts w:ascii="Arial" w:hAnsi="Arial" w:cs="Arial"/>
          <w:lang w:val="es-ES"/>
        </w:rPr>
        <w:t xml:space="preserve">” a </w:t>
      </w:r>
      <w:proofErr w:type="spellStart"/>
      <w:r w:rsidRPr="00AD5F8B">
        <w:rPr>
          <w:rFonts w:ascii="Arial" w:hAnsi="Arial" w:cs="Arial"/>
          <w:lang w:val="es-ES"/>
        </w:rPr>
        <w:t>ak</w:t>
      </w:r>
      <w:proofErr w:type="spellEnd"/>
      <w:r w:rsidR="000C6C86">
        <w:rPr>
          <w:rFonts w:ascii="Arial" w:hAnsi="Arial" w:cs="Arial"/>
          <w:lang w:val="es-ES"/>
        </w:rPr>
        <w:t>.</w:t>
      </w:r>
    </w:p>
    <w:p w:rsidR="005668CF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V) GRAFO DE SOBRECLASIFICACIÓN</w:t>
      </w:r>
    </w:p>
    <w:p w:rsidR="000C6C86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Una vez representadas todas las relaciones de sobreclasificación existentes, alcanzamos un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grafo en el que se pueden plantear las siguientes posibilidades:</w:t>
      </w:r>
    </w:p>
    <w:p w:rsidR="005668CF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− Que no exista una sola alternativa que no padezca, al menos, una relación de</w:t>
      </w:r>
      <w:r w:rsidRPr="00AD5F8B">
        <w:rPr>
          <w:rFonts w:ascii="Arial" w:hAnsi="Arial" w:cs="Arial"/>
          <w:lang w:val="es-ES"/>
        </w:rPr>
        <w:br/>
        <w:t>sobreclasificación. Todas las alternativas son inferiores a una o más del conjunto A = {</w:t>
      </w:r>
      <w:proofErr w:type="spellStart"/>
      <w:r w:rsidRPr="00AD5F8B">
        <w:rPr>
          <w:rFonts w:ascii="Arial" w:hAnsi="Arial" w:cs="Arial"/>
          <w:lang w:val="es-ES"/>
        </w:rPr>
        <w:t>ai</w:t>
      </w:r>
      <w:proofErr w:type="spellEnd"/>
      <w:r w:rsidRPr="00AD5F8B">
        <w:rPr>
          <w:rFonts w:ascii="Arial" w:hAnsi="Arial" w:cs="Arial"/>
          <w:lang w:val="es-ES"/>
        </w:rPr>
        <w:t>}, lo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que se traduce en que algún arco tiene por destino la alternativa de que se trate. Entonces: con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los datos existentes  y los niveles de concordancia y discordancia exigidos, el método es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 xml:space="preserve">incapaz de distinguir entre el conjunto de alternativas cuál(es) </w:t>
      </w:r>
      <w:proofErr w:type="gramStart"/>
      <w:r w:rsidRPr="00AD5F8B">
        <w:rPr>
          <w:rFonts w:ascii="Arial" w:hAnsi="Arial" w:cs="Arial"/>
          <w:lang w:val="es-ES"/>
        </w:rPr>
        <w:t>es(</w:t>
      </w:r>
      <w:proofErr w:type="gramEnd"/>
      <w:r w:rsidRPr="00AD5F8B">
        <w:rPr>
          <w:rFonts w:ascii="Arial" w:hAnsi="Arial" w:cs="Arial"/>
          <w:lang w:val="es-ES"/>
        </w:rPr>
        <w:t>son) la(s) preferida(s).</w:t>
      </w:r>
      <w:r w:rsidRPr="00AD5F8B">
        <w:rPr>
          <w:rFonts w:ascii="Arial" w:hAnsi="Arial" w:cs="Arial"/>
          <w:lang w:val="es-ES"/>
        </w:rPr>
        <w:br/>
        <w:t>− Que una alternativa no sufra relación de dominio alguna, mientras el resto de alternativas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tienen una o más. Entonces: el grafo queda dividido en dos partes claramente diferenciadas.</w:t>
      </w:r>
      <w:r w:rsidRPr="00AD5F8B">
        <w:rPr>
          <w:rFonts w:ascii="Arial" w:hAnsi="Arial" w:cs="Arial"/>
          <w:lang w:val="es-ES"/>
        </w:rPr>
        <w:br/>
        <w:t>Una, denominada núcleo, constituido por la alternativa que no es dominada por ninguna otra.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Otra, accesoria o periferia, compuesta por el resto de las alternativas. La elección recaerá en la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alternativa que compone el núcleo del grafo.</w:t>
      </w:r>
      <w:r w:rsidRPr="00AD5F8B">
        <w:rPr>
          <w:rFonts w:ascii="Arial" w:hAnsi="Arial" w:cs="Arial"/>
          <w:lang w:val="es-ES"/>
        </w:rPr>
        <w:br/>
        <w:t xml:space="preserve">− Que el núcleo lo integren dos o más alternativas (dos o más elementos de A no </w:t>
      </w:r>
      <w:r w:rsidRPr="00AD5F8B">
        <w:rPr>
          <w:rFonts w:ascii="Arial" w:hAnsi="Arial" w:cs="Arial"/>
          <w:lang w:val="es-ES"/>
        </w:rPr>
        <w:lastRenderedPageBreak/>
        <w:t>padecen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sobreclasificación alguna). Entonces: el método considera ese grupo como el de las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alternativas más convenientes y, en un principio, selecciona el núcleo. Las que están fuera de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ese centro son rechazadas por ser consideradas de peor calidad que las ubicadas en el núcleo.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Ahora bien, con los datos y parámetros preestablecidos, no estamos en condiciones de realizar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diferenciación alguna en el conjunto seleccionado.</w:t>
      </w:r>
      <w:r w:rsidRPr="00AD5F8B">
        <w:rPr>
          <w:rFonts w:ascii="Arial" w:hAnsi="Arial" w:cs="Arial"/>
          <w:lang w:val="es-ES"/>
        </w:rPr>
        <w:br/>
        <w:t>− Que no se produzca relación de sobreclasificación alguna. Entonces: las alternativas viables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consideradas, son incomparables entre sí, con la información inicial y los umbrales o niveles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especificados por el decisor.</w:t>
      </w:r>
    </w:p>
    <w:p w:rsidR="005668CF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ELECCIÓN DE UNA SOLA ALTERNATIVA</w:t>
      </w:r>
    </w:p>
    <w:p w:rsidR="005668CF" w:rsidRDefault="00AD5F8B" w:rsidP="00AD5F8B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En el caso de que el núcleo esté compuesto por varias alternativas y el decisor persista en su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deseo de elegir una sola, tendrá una doble posibilidad:</w:t>
      </w:r>
      <w:r w:rsidRPr="00AD5F8B">
        <w:rPr>
          <w:rFonts w:ascii="Arial" w:hAnsi="Arial" w:cs="Arial"/>
          <w:lang w:val="es-ES"/>
        </w:rPr>
        <w:br/>
        <w:t>a) Aumentar las relaciones de sobreclasificación existentes en el grafo. Para ello, el decisor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deberá reducir el nivel de exigencia de los niveles (umbrales) de concordancia y</w:t>
      </w:r>
      <w:r w:rsidRPr="00AD5F8B">
        <w:rPr>
          <w:rFonts w:ascii="Arial" w:hAnsi="Arial" w:cs="Arial"/>
          <w:lang w:val="es-ES"/>
        </w:rPr>
        <w:br/>
        <w:t>discordancia. Consiguientemente, podrá:</w:t>
      </w:r>
    </w:p>
    <w:p w:rsidR="005668CF" w:rsidRDefault="00AD5F8B" w:rsidP="005668CF">
      <w:pPr>
        <w:spacing w:line="360" w:lineRule="auto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 xml:space="preserve"> – </w:t>
      </w:r>
      <w:proofErr w:type="gramStart"/>
      <w:r w:rsidRPr="00AD5F8B">
        <w:rPr>
          <w:rFonts w:ascii="Arial" w:hAnsi="Arial" w:cs="Arial"/>
          <w:lang w:val="es-ES"/>
        </w:rPr>
        <w:t>disminuir</w:t>
      </w:r>
      <w:proofErr w:type="gramEnd"/>
      <w:r w:rsidRPr="00AD5F8B">
        <w:rPr>
          <w:rFonts w:ascii="Arial" w:hAnsi="Arial" w:cs="Arial"/>
          <w:lang w:val="es-ES"/>
        </w:rPr>
        <w:t xml:space="preserve"> el umbral de concordancia (p);</w:t>
      </w:r>
      <w:r w:rsidRPr="00AD5F8B">
        <w:rPr>
          <w:rFonts w:ascii="Arial" w:hAnsi="Arial" w:cs="Arial"/>
          <w:lang w:val="es-ES"/>
        </w:rPr>
        <w:br/>
        <w:t>– aumentar el umbral de discordancia (q); o</w:t>
      </w:r>
      <w:r w:rsidRPr="00AD5F8B">
        <w:rPr>
          <w:rFonts w:ascii="Arial" w:hAnsi="Arial" w:cs="Arial"/>
          <w:lang w:val="es-ES"/>
        </w:rPr>
        <w:br/>
        <w:t>– realizar simultáneamente las dos operaciones anteriores.</w:t>
      </w:r>
    </w:p>
    <w:p w:rsidR="005668CF" w:rsidRDefault="00AD5F8B" w:rsidP="005668CF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br/>
        <w:t xml:space="preserve">b) Realizar una elección entre las alternativas del núcleo mediante consideraciones o 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juicios de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opinión ajenos al modelo.</w:t>
      </w:r>
    </w:p>
    <w:p w:rsidR="005668CF" w:rsidRDefault="005668CF" w:rsidP="005668CF">
      <w:pPr>
        <w:spacing w:line="360" w:lineRule="auto"/>
        <w:jc w:val="both"/>
        <w:rPr>
          <w:rFonts w:ascii="Arial" w:hAnsi="Arial" w:cs="Arial"/>
          <w:lang w:val="es-ES"/>
        </w:rPr>
      </w:pPr>
    </w:p>
    <w:p w:rsidR="005668CF" w:rsidRDefault="00AD5F8B" w:rsidP="005668CF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br/>
        <w:t>APLICABILIDAD DEL MÉTODO ELECTRA I</w:t>
      </w:r>
    </w:p>
    <w:p w:rsidR="000C6C86" w:rsidRDefault="00AD5F8B" w:rsidP="005668CF">
      <w:pPr>
        <w:spacing w:line="360" w:lineRule="auto"/>
        <w:jc w:val="both"/>
        <w:rPr>
          <w:rFonts w:ascii="Arial" w:hAnsi="Arial" w:cs="Arial"/>
          <w:lang w:val="es-ES"/>
        </w:rPr>
      </w:pPr>
      <w:r w:rsidRPr="00AD5F8B">
        <w:rPr>
          <w:rFonts w:ascii="Arial" w:hAnsi="Arial" w:cs="Arial"/>
          <w:lang w:val="es-ES"/>
        </w:rPr>
        <w:t>En el campo de las empresas, Electra I se muestra eficaz al ser aplicado a diversas decisiones,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entre otras: la determinación del plan o los planes de desarrollo empresarial más adecuados; la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selección entre diferentes proyectos de inversión; la fijación de la localización de los centros de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actividad de la empresa; la selección de personal; la elección de los medios y soportes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publicitarios más adecuados para efectuar campañas de publicidad; el estudio de la composición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más acertada de un servicio o producto, o la elección de los canales de distribución más correctos,</w:t>
      </w:r>
      <w:r w:rsidR="005668CF">
        <w:rPr>
          <w:rFonts w:ascii="Arial" w:hAnsi="Arial" w:cs="Arial"/>
          <w:lang w:val="es-ES"/>
        </w:rPr>
        <w:t xml:space="preserve"> </w:t>
      </w:r>
      <w:r w:rsidRPr="00AD5F8B">
        <w:rPr>
          <w:rFonts w:ascii="Arial" w:hAnsi="Arial" w:cs="Arial"/>
          <w:lang w:val="es-ES"/>
        </w:rPr>
        <w:t>entre otras muchas.</w:t>
      </w:r>
    </w:p>
    <w:p w:rsidR="000C6C86" w:rsidRDefault="000C6C86" w:rsidP="000C6C86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BIBLIOGRAFIA</w:t>
      </w:r>
    </w:p>
    <w:p w:rsidR="000C6C86" w:rsidRDefault="000C6C86" w:rsidP="005668C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 de apoyo. Método electra.</w:t>
      </w:r>
    </w:p>
    <w:p w:rsidR="00AD5F8B" w:rsidRPr="00AD5F8B" w:rsidRDefault="00AD5F8B" w:rsidP="005668CF">
      <w:pPr>
        <w:spacing w:line="360" w:lineRule="auto"/>
        <w:jc w:val="both"/>
        <w:rPr>
          <w:rFonts w:ascii="Arial" w:eastAsia="Times New Roman" w:hAnsi="Arial" w:cs="Arial"/>
          <w:vanish/>
          <w:lang w:val="es-ES" w:eastAsia="es-MX"/>
        </w:rPr>
      </w:pPr>
      <w:r w:rsidRPr="00AD5F8B">
        <w:rPr>
          <w:rFonts w:ascii="Arial" w:eastAsia="Times New Roman" w:hAnsi="Arial" w:cs="Arial"/>
          <w:lang w:val="es-ES" w:eastAsia="es-MX"/>
        </w:rPr>
        <w:t xml:space="preserve"> </w:t>
      </w:r>
      <w:r w:rsidRPr="00AD5F8B">
        <w:rPr>
          <w:rFonts w:ascii="Arial" w:eastAsia="Times New Roman" w:hAnsi="Arial" w:cs="Arial"/>
          <w:vanish/>
          <w:lang w:val="es-ES" w:eastAsia="es-MX"/>
        </w:rPr>
        <w:t>viables para determinar otros tantos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indicadores de concordancia.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Una vez determinados todos los valores de los indicadores de concordancia, podemos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visualizarlos en una matriz de concordancia como la siguiente: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Chk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am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C21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Cm1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C12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Cm2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am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C1m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C2m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III) PRUEBA DE DISCORDANCIA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Para medir la importancia de las discordancias, Electra I utiliza otro indicador, que nos va a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registrar la importancia de las minusvaloraciones que se produzcan entre dos alternativas ah y ak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que se comparen en sentido directo. Se trata de observar qué fuerza discordante se presenta en los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criterios en que una alternativa ah es inferior a otra ak.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El indicador de discordancia de la alternativa ah respecto a ak será igual al mayor valor de los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cocientes (calculados para todos aquellos criterios en que ah presente un valor menor que ak) entre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la divergencia de valoración y la amplitud total de la escala única y común considerada. El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indicador de discordancia mide la importancia relativa de la mayor discrepancia existente entre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todos los criterios.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El intervalo de oscilación de los indicadores de discordancia (Dhk) estará también entre 0 y 1.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Tomará el valor 0 cuando la alternativa ah no es inferior en criterio alguno a la alternativa ak; será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 w:type="page"/>
        <w:t>tanto mayor cuanto más grande (al menos en un criterio) sea la infravaloración de la alternativa ah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 xml:space="preserve">respecto a ak; y valdrá 1 cuando, en uno o </w:t>
      </w:r>
    </w:p>
    <w:p w:rsidR="00AD5F8B" w:rsidRPr="00AD5F8B" w:rsidRDefault="00AD5F8B" w:rsidP="00AD5F8B">
      <w:pPr>
        <w:spacing w:after="0" w:line="360" w:lineRule="auto"/>
        <w:jc w:val="both"/>
        <w:rPr>
          <w:rFonts w:ascii="Arial" w:eastAsia="Times New Roman" w:hAnsi="Arial" w:cs="Arial"/>
          <w:vanish/>
          <w:lang w:val="es-ES" w:eastAsia="es-MX"/>
        </w:rPr>
      </w:pPr>
      <w:r w:rsidRPr="00AD5F8B">
        <w:rPr>
          <w:rFonts w:ascii="Arial" w:eastAsia="Times New Roman" w:hAnsi="Arial" w:cs="Arial"/>
          <w:vanish/>
          <w:lang w:val="es-ES" w:eastAsia="es-MX"/>
        </w:rPr>
        <w:t>más criterios, la diferencia de puntuación a favor de ak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sea la totalidad de la escala usada.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De forma análoga al caso anterior, podemos representar en una matriz de discordancia los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valores así obtenidos: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Dhk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am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D12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D21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Dm1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Dm2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am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D1m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D2m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…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Así pues, para cada pareja de alternativas, ah y ak, habremos calculado: un indicador de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concordancia Ch,k y un indicador de discordancia Dh,k.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Habremos conseguido de esta forma contrastar, mediante dos exámenes distintos y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complementarios, toda la información disponible. Sabremos ya no sólo la importancia de los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criterios en que cada alternativa es al menos tan buena como otra, sino, también, en qué medida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es inferior cuando sucede lo contrario.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IV) SÍNTESIS DE LAS PRUEBAS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Con estos dos indicadores, Electra I considera si existe o no una relación de sobreclasificación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entre cada pareja de alternativas. La argumentación lógica en que descansa el establecimiento de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una relación de este tipo, se puede sintetizar de esta manera: si una alternativa ah es igual o mejor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que otra ak en la mayoría de los criterios considerados y, además, en ningún criterio ah es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claramente inferior a ak, podemos inferir, con suficiente fundamento que ah es “preferible” a ak, o,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utilizando la terminología de ayuda a la decisión, que ah “sobreclasifica” a ak.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 xml:space="preserve">La manera específica de Electra I para formular una relación de sobreclasificación o </w:t>
      </w:r>
    </w:p>
    <w:p w:rsidR="00AD5F8B" w:rsidRPr="00AD5F8B" w:rsidRDefault="00AD5F8B" w:rsidP="00AD5F8B">
      <w:pPr>
        <w:spacing w:after="0" w:line="360" w:lineRule="auto"/>
        <w:jc w:val="both"/>
        <w:rPr>
          <w:rFonts w:ascii="Arial" w:eastAsia="Times New Roman" w:hAnsi="Arial" w:cs="Arial"/>
          <w:vanish/>
          <w:lang w:val="es-ES" w:eastAsia="es-MX"/>
        </w:rPr>
      </w:pPr>
      <w:r w:rsidRPr="00AD5F8B">
        <w:rPr>
          <w:rFonts w:ascii="Arial" w:eastAsia="Times New Roman" w:hAnsi="Arial" w:cs="Arial"/>
          <w:vanish/>
          <w:lang w:val="es-ES" w:eastAsia="es-MX"/>
        </w:rPr>
        <w:t>de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dominio de ah sobre ak (ah S ak), es mediante la verificación del cumplimiento simultáneo de las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dos condiciones siguientes: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Ch,k ≥ p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;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Dh,k ≤ q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en donde p es igual al umbral de concordancia y q al de discordancia, umbrales, ambos, fijados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libremente por el decisor y que van a reflejar la frontera entre los niveles aceptables 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inaceptables para éste en los valores de concordancia y discordancia, respectivamente.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Cuando se produzca una relación de sobreclasificación de la alternativa ah sobre ak, esta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 xml:space="preserve">relación se manifestará gráficamente en un arco orientado ah </w:t>
      </w:r>
      <w:r w:rsidRPr="00AD5F8B">
        <w:rPr>
          <w:rFonts w:ascii="Arial" w:eastAsia="Times New Roman" w:hAnsi="Arial" w:cs="Arial"/>
          <w:vanish/>
          <w:lang w:val="es-ES" w:eastAsia="es-MX"/>
        </w:rPr>
        <w:sym w:font="Symbol" w:char="F0E0"/>
      </w:r>
      <w:r w:rsidRPr="00AD5F8B">
        <w:rPr>
          <w:rFonts w:ascii="Arial" w:eastAsia="Times New Roman" w:hAnsi="Arial" w:cs="Arial"/>
          <w:vanish/>
          <w:lang w:val="es-ES" w:eastAsia="es-MX"/>
        </w:rPr>
        <w:t xml:space="preserve"> ak. También puede presentarse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una matriz de sobreclasificación en la que se colocará un 1 cuando exista la relación de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sobreclasificación entre dos alternativas, y un 0 cuando no exista. Por ejemplo, si se ha llegado a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 xml:space="preserve">las siguientes relaciones de sobreclasificación: a1 </w:t>
      </w:r>
      <w:r w:rsidRPr="00AD5F8B">
        <w:rPr>
          <w:rFonts w:ascii="Arial" w:eastAsia="Times New Roman" w:hAnsi="Arial" w:cs="Arial"/>
          <w:vanish/>
          <w:lang w:val="es-ES" w:eastAsia="es-MX"/>
        </w:rPr>
        <w:sym w:font="Symbol" w:char="F0E0"/>
      </w:r>
      <w:r w:rsidRPr="00AD5F8B">
        <w:rPr>
          <w:rFonts w:ascii="Arial" w:eastAsia="Times New Roman" w:hAnsi="Arial" w:cs="Arial"/>
          <w:vanish/>
          <w:lang w:val="es-ES" w:eastAsia="es-MX"/>
        </w:rPr>
        <w:t xml:space="preserve"> a3; a2 </w:t>
      </w:r>
      <w:r w:rsidRPr="00AD5F8B">
        <w:rPr>
          <w:rFonts w:ascii="Arial" w:eastAsia="Times New Roman" w:hAnsi="Arial" w:cs="Arial"/>
          <w:vanish/>
          <w:lang w:val="es-ES" w:eastAsia="es-MX"/>
        </w:rPr>
        <w:sym w:font="Symbol" w:char="F0E0"/>
      </w:r>
      <w:r w:rsidRPr="00AD5F8B">
        <w:rPr>
          <w:rFonts w:ascii="Arial" w:eastAsia="Times New Roman" w:hAnsi="Arial" w:cs="Arial"/>
          <w:vanish/>
          <w:lang w:val="es-ES" w:eastAsia="es-MX"/>
        </w:rPr>
        <w:t xml:space="preserve"> a1; a2 </w:t>
      </w:r>
      <w:r w:rsidRPr="00AD5F8B">
        <w:rPr>
          <w:rFonts w:ascii="Arial" w:eastAsia="Times New Roman" w:hAnsi="Arial" w:cs="Arial"/>
          <w:vanish/>
          <w:lang w:val="es-ES" w:eastAsia="es-MX"/>
        </w:rPr>
        <w:sym w:font="Symbol" w:char="F0E0"/>
      </w:r>
      <w:r w:rsidRPr="00AD5F8B">
        <w:rPr>
          <w:rFonts w:ascii="Arial" w:eastAsia="Times New Roman" w:hAnsi="Arial" w:cs="Arial"/>
          <w:vanish/>
          <w:lang w:val="es-ES" w:eastAsia="es-MX"/>
        </w:rPr>
        <w:t xml:space="preserve"> a3 , entonces la matriz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sería: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a3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0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a2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0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0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a3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1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 w:type="page"/>
        <w:t>V) GRAFO DE SOBRECLASIFICACIÓN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Una vez representadas todas las relaciones de sobreclasificación existentes, alcanzamos un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grafo en el que se pueden plantear las siguientes posibilidades: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− Que no exista una sola alternativa que no padezca, al menos, una relación de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sobreclasificación. Todas las alternativas son inferiores a una o más del conjunto A = {ai}, lo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que se traduce en que algún arco tiene por destino la alternativa de que se trate. Entonces: con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 xml:space="preserve">los datos existentes </w:t>
      </w:r>
    </w:p>
    <w:p w:rsidR="00AD5F8B" w:rsidRPr="00AD5F8B" w:rsidRDefault="00AD5F8B" w:rsidP="00AD5F8B">
      <w:pPr>
        <w:spacing w:after="0" w:line="360" w:lineRule="auto"/>
        <w:jc w:val="both"/>
        <w:rPr>
          <w:rFonts w:ascii="Arial" w:eastAsia="Times New Roman" w:hAnsi="Arial" w:cs="Arial"/>
          <w:vanish/>
          <w:lang w:val="es-ES" w:eastAsia="es-MX"/>
        </w:rPr>
      </w:pPr>
      <w:r w:rsidRPr="00AD5F8B">
        <w:rPr>
          <w:rFonts w:ascii="Arial" w:eastAsia="Times New Roman" w:hAnsi="Arial" w:cs="Arial"/>
          <w:vanish/>
          <w:lang w:val="es-ES" w:eastAsia="es-MX"/>
        </w:rPr>
        <w:t>y los niveles de concordancia y discordancia exigidos, el método es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incapaz de distinguir entre el conjunto de alternativas cuál(es) es(son) la(s) preferida(s).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− Que una alternativa no sufra relación de dominio alguna, mientras el resto de alternativas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tienen una o más. Entonces: el grafo queda dividido en dos partes claramente diferenciadas.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Una, denominada núcleo, constituido por la alternativa que no es dominada por ninguna otra.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Otra, accesoria o periferia, compuesta por el resto de las alternativas. La elección recaerá en la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alternativa que compone el núcleo del grafo.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− Que el núcleo lo integren dos o más alternativas (dos o más elementos de A no padecen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sobreclasificación alguna). Entonces: el método considera ese grupo como el de las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alternativas más convenientes y, en un principio, selecciona el núcleo. Las que están fuera de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ese centro son rechazadas por ser consideradas de peor calidad que las ubicadas en el núcleo.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Ahora bien, con los datos y parámetros preestablecidos, no estamos en condiciones de realizar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diferenciación alguna en el conjunto seleccionado.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− Que no se produzca relación de sobreclasificación alguna. Entonces: las alternativas viables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consideradas, son incomparables entre sí, con la información inicial y los umbrales o niveles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especificados por el decisor.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En resumen, si con los niveles iniciales de concordancia y discordancia, es decir, umbrales p y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 xml:space="preserve">q, se deduce un núcleo formado </w:t>
      </w:r>
    </w:p>
    <w:p w:rsidR="00AD5F8B" w:rsidRPr="00AD5F8B" w:rsidRDefault="00AD5F8B" w:rsidP="00AD5F8B">
      <w:pPr>
        <w:spacing w:after="240" w:line="360" w:lineRule="auto"/>
        <w:jc w:val="both"/>
        <w:rPr>
          <w:rFonts w:ascii="Arial" w:eastAsia="Times New Roman" w:hAnsi="Arial" w:cs="Arial"/>
          <w:vanish/>
          <w:lang w:val="es-ES" w:eastAsia="es-MX"/>
        </w:rPr>
      </w:pPr>
      <w:r w:rsidRPr="00AD5F8B">
        <w:rPr>
          <w:rFonts w:ascii="Arial" w:eastAsia="Times New Roman" w:hAnsi="Arial" w:cs="Arial"/>
          <w:vanish/>
          <w:lang w:val="es-ES" w:eastAsia="es-MX"/>
        </w:rPr>
        <w:t>por una sola alternativa, ésta será la elegida.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En el ejemplo anterior de matriz de sobreclasificación, el grafo sería: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ELECCIÓN DE UNA SOLA ALTERNATIVA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En el caso de que el núcleo esté compuesto por varias alternativas y el decisor persista en su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deseo de elegir una sola, tendrá una doble posibilidad: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a) Aumentar las relaciones de sobreclasificación existentes en el grafo. Para ello, el decisor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deberá reducir el nivel de exigencia de los niveles (umbrales) de concordancia y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discordancia. Consiguientemente, podrá:</w:t>
      </w:r>
      <w:r w:rsidRPr="00AD5F8B">
        <w:rPr>
          <w:rFonts w:ascii="Arial" w:eastAsia="Times New Roman" w:hAnsi="Arial" w:cs="Arial"/>
          <w:vanish/>
          <w:lang w:val="es-ES" w:eastAsia="es-MX"/>
        </w:rPr>
        <w:br/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– disminuir el umbral de concordancia (p);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– aumentar el umbral de discordancia (q); o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– realizar simultáneamente las dos operaciones anteriores.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b) Realizar una elección entre las alternativas del núcleo mediante consideraciones o juicios de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opinión ajenos al modelo.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APLICABILIDAD DEL MÉTODO ELECTRA I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En el campo de las empresas, Electra I se muestra eficaz al ser aplicado a diversas decisiones,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entre otras: la determinación del plan o los planes de desarrollo empresarial más adecuados; la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selección entre diferentes proyectos de inversión; la fijación de la localización de los centros de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actividad de la empresa; la selección de personal; la elección de los medios y soportes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publicitarios más adecuados para efectuar campañas de publicidad; el estudio de la composición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más acertada de un servicio o producto, o la elección de los canales de distribución más correctos,</w:t>
      </w:r>
      <w:r w:rsidRPr="00AD5F8B">
        <w:rPr>
          <w:rFonts w:ascii="Arial" w:eastAsia="Times New Roman" w:hAnsi="Arial" w:cs="Arial"/>
          <w:vanish/>
          <w:lang w:val="es-ES" w:eastAsia="es-MX"/>
        </w:rPr>
        <w:br/>
        <w:t>entre otras muchas.</w:t>
      </w:r>
    </w:p>
    <w:sectPr w:rsidR="00AD5F8B" w:rsidRPr="00AD5F8B" w:rsidSect="00876E76">
      <w:pgSz w:w="12240" w:h="15840"/>
      <w:pgMar w:top="1417" w:right="1701" w:bottom="1417" w:left="1701" w:header="708" w:footer="708" w:gutter="0"/>
      <w:pgBorders w:display="firstPage" w:offsetFrom="page">
        <w:top w:val="triple" w:sz="18" w:space="24" w:color="76923C" w:themeColor="accent3" w:themeShade="BF"/>
        <w:left w:val="triple" w:sz="18" w:space="24" w:color="76923C" w:themeColor="accent3" w:themeShade="BF"/>
        <w:bottom w:val="triple" w:sz="18" w:space="24" w:color="76923C" w:themeColor="accent3" w:themeShade="BF"/>
        <w:right w:val="triple" w:sz="18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GQRS I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62EFA"/>
    <w:multiLevelType w:val="multilevel"/>
    <w:tmpl w:val="36AA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AD5F8B"/>
    <w:rsid w:val="000C6C86"/>
    <w:rsid w:val="00521EA4"/>
    <w:rsid w:val="005668CF"/>
    <w:rsid w:val="00876E76"/>
    <w:rsid w:val="00AD5F8B"/>
    <w:rsid w:val="00BE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C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5F8B"/>
    <w:rPr>
      <w:color w:val="0000FF"/>
      <w:u w:val="single"/>
    </w:rPr>
  </w:style>
  <w:style w:type="character" w:customStyle="1" w:styleId="pager-text">
    <w:name w:val="pager-text"/>
    <w:basedOn w:val="Fuentedeprrafopredeter"/>
    <w:rsid w:val="00AD5F8B"/>
  </w:style>
  <w:style w:type="character" w:customStyle="1" w:styleId="hide-fix">
    <w:name w:val="hide-fix"/>
    <w:basedOn w:val="Fuentedeprrafopredeter"/>
    <w:rsid w:val="00AD5F8B"/>
  </w:style>
  <w:style w:type="paragraph" w:customStyle="1" w:styleId="Default">
    <w:name w:val="Default"/>
    <w:rsid w:val="00876E76"/>
    <w:pPr>
      <w:autoSpaceDE w:val="0"/>
      <w:autoSpaceDN w:val="0"/>
      <w:adjustRightInd w:val="0"/>
      <w:spacing w:after="0" w:line="240" w:lineRule="auto"/>
    </w:pPr>
    <w:rPr>
      <w:rFonts w:ascii="QGQRS I+ Arial MT" w:hAnsi="QGQRS I+ Arial MT" w:cs="QGQRS I+ Arial MT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8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5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23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10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30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7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7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apchiapas.org.mx/?p=1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2067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Sandia</dc:creator>
  <cp:lastModifiedBy>Sandia</cp:lastModifiedBy>
  <cp:revision>1</cp:revision>
  <dcterms:created xsi:type="dcterms:W3CDTF">2015-05-23T17:25:00Z</dcterms:created>
  <dcterms:modified xsi:type="dcterms:W3CDTF">2015-05-23T18:08:00Z</dcterms:modified>
</cp:coreProperties>
</file>