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69432799" wp14:editId="50530AFF">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1CD9C07D" wp14:editId="68BA4BCE">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29321C5A" wp14:editId="027673DA">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r w:rsidR="00C32074">
        <w:rPr>
          <w:rFonts w:ascii="Arial" w:hAnsi="Arial" w:cs="Arial"/>
          <w:b/>
          <w:color w:val="000000"/>
          <w:sz w:val="28"/>
          <w:szCs w:val="15"/>
        </w:rPr>
        <w:t xml:space="preserve">MODULO: RENDICIÓN DE CUENTAS Y CONTRALORÍA SOCIAL </w:t>
      </w:r>
    </w:p>
    <w:p w:rsidR="00C32074" w:rsidRDefault="00C32074" w:rsidP="007674B0">
      <w:pPr>
        <w:pStyle w:val="NormalWeb"/>
        <w:spacing w:line="360" w:lineRule="auto"/>
        <w:ind w:left="2127"/>
        <w:jc w:val="center"/>
        <w:rPr>
          <w:rFonts w:ascii="Arial" w:hAnsi="Arial" w:cs="Arial"/>
          <w:b/>
          <w:color w:val="000000"/>
          <w:sz w:val="28"/>
          <w:szCs w:val="15"/>
        </w:rPr>
      </w:pPr>
    </w:p>
    <w:p w:rsidR="00533C28" w:rsidRDefault="00C32074" w:rsidP="007674B0">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PARTICIPACIÓN CIUDADANA</w:t>
      </w:r>
    </w:p>
    <w:p w:rsidR="00C32074" w:rsidRDefault="00C32074"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C32074" w:rsidRDefault="00C32074"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C32074" w:rsidP="007470D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PhD. AMADOR MARTÍNEZ MARTÍNEZ </w:t>
      </w: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C32074">
        <w:rPr>
          <w:rFonts w:ascii="Arial" w:hAnsi="Arial" w:cs="Arial"/>
          <w:b/>
          <w:color w:val="000000"/>
          <w:sz w:val="20"/>
          <w:szCs w:val="15"/>
        </w:rPr>
        <w:t>CHIAPAS ENERO DEL 2016</w:t>
      </w:r>
      <w:r w:rsidR="007674B0" w:rsidRPr="001E1E3A">
        <w:rPr>
          <w:rFonts w:ascii="Arial" w:hAnsi="Arial" w:cs="Arial"/>
          <w:b/>
          <w:color w:val="000000"/>
          <w:sz w:val="20"/>
          <w:szCs w:val="15"/>
        </w:rPr>
        <w:t xml:space="preserve">. </w:t>
      </w:r>
    </w:p>
    <w:p w:rsidR="00533C28" w:rsidRDefault="00533C28" w:rsidP="00510105">
      <w:pPr>
        <w:pStyle w:val="NormalWeb"/>
        <w:spacing w:line="360" w:lineRule="auto"/>
        <w:jc w:val="both"/>
        <w:rPr>
          <w:rFonts w:ascii="Arial" w:hAnsi="Arial" w:cs="Arial"/>
          <w:color w:val="000000"/>
          <w:sz w:val="22"/>
          <w:szCs w:val="15"/>
        </w:rPr>
      </w:pPr>
    </w:p>
    <w:p w:rsidR="00C32074" w:rsidRDefault="00C32074" w:rsidP="00C32074">
      <w:pPr>
        <w:spacing w:line="360" w:lineRule="auto"/>
        <w:jc w:val="both"/>
        <w:rPr>
          <w:rFonts w:ascii="Arial" w:hAnsi="Arial" w:cs="Arial"/>
          <w:sz w:val="24"/>
          <w:szCs w:val="24"/>
        </w:rPr>
      </w:pPr>
      <w:r w:rsidRPr="009F3FFB">
        <w:rPr>
          <w:rFonts w:ascii="Arial" w:hAnsi="Arial" w:cs="Arial"/>
          <w:sz w:val="24"/>
          <w:szCs w:val="24"/>
        </w:rPr>
        <w:lastRenderedPageBreak/>
        <w:t xml:space="preserve">Al hablar de chipas lo primero que se nos vienen a la mente es el rezago, pareciera que nos empeñamos a ser fatalistas con un toque de miserables al hablar de esta noble tierra, pensamos que los gobiernos que nos han tocado han sido responsables de los grandes males que aquejan esta frontera aparentemente olvidada, pero a la vez somos optimistas en pensar en proveemos de mucho al país, hace algunos meses casi crucificábamos al actual gobernador de Nuevo León Jaime Rodríguez Calderón con su argumento de que </w:t>
      </w:r>
      <w:r w:rsidR="006C66DC">
        <w:rPr>
          <w:rFonts w:ascii="Arial" w:hAnsi="Arial" w:cs="Arial"/>
          <w:sz w:val="24"/>
          <w:szCs w:val="24"/>
        </w:rPr>
        <w:t>Chiapas recibe mucho más de lo que da</w:t>
      </w:r>
      <w:r w:rsidRPr="009F3FFB">
        <w:rPr>
          <w:rFonts w:ascii="Arial" w:hAnsi="Arial" w:cs="Arial"/>
          <w:sz w:val="24"/>
          <w:szCs w:val="24"/>
        </w:rPr>
        <w:t xml:space="preserve"> y es que del 100% del PIB Chiapas aporta el 1.8% pero recibe el 20% de la federación </w:t>
      </w:r>
      <w:r>
        <w:rPr>
          <w:rFonts w:ascii="Arial" w:hAnsi="Arial" w:cs="Arial"/>
          <w:sz w:val="24"/>
          <w:szCs w:val="24"/>
        </w:rPr>
        <w:t>una cantidad considerable que no es palpable para la ciudadanía.</w:t>
      </w:r>
    </w:p>
    <w:p w:rsidR="00C32074" w:rsidRDefault="00C32074" w:rsidP="00C32074">
      <w:pPr>
        <w:spacing w:line="360" w:lineRule="auto"/>
        <w:jc w:val="both"/>
        <w:rPr>
          <w:rFonts w:ascii="Arial" w:hAnsi="Arial" w:cs="Arial"/>
          <w:sz w:val="24"/>
          <w:szCs w:val="24"/>
        </w:rPr>
      </w:pPr>
      <w:r>
        <w:rPr>
          <w:rFonts w:ascii="Arial" w:hAnsi="Arial" w:cs="Arial"/>
          <w:sz w:val="24"/>
          <w:szCs w:val="24"/>
        </w:rPr>
        <w:t>Esta información aunque está al alcance de todos, el interés es mínimo por parte de la ciudadanía y esto puede deberse a diferentes factores en los que sobresale el rezago educativo, ya que en los estados donde existe mayor oportunidad educativa hay una relación con la participación social en la administración pública, esto es en función aunque la teoría nos da un panorama completamente diferentes.</w:t>
      </w:r>
    </w:p>
    <w:p w:rsidR="00C32074" w:rsidRDefault="00C32074" w:rsidP="00C32074">
      <w:pPr>
        <w:spacing w:line="360" w:lineRule="auto"/>
        <w:jc w:val="both"/>
        <w:rPr>
          <w:rFonts w:ascii="Arial" w:hAnsi="Arial" w:cs="Arial"/>
          <w:sz w:val="24"/>
          <w:szCs w:val="24"/>
        </w:rPr>
      </w:pPr>
      <w:r>
        <w:rPr>
          <w:rFonts w:ascii="Arial" w:hAnsi="Arial" w:cs="Arial"/>
          <w:sz w:val="24"/>
          <w:szCs w:val="24"/>
        </w:rPr>
        <w:t>La intervención de los ciudadanos en la toma de decisiones respecto al manejo de los recursos y las acciones del gobierno en Chiapas como en diferentes estados con rezagos educativos es muy poca en relación a los estados del norte, aunque la participación ciudadana es concebida como un legítimo derecho el interés o talvez la falta de promoción ha sido un factor importante</w:t>
      </w:r>
      <w:r w:rsidR="006C66DC">
        <w:rPr>
          <w:rFonts w:ascii="Arial" w:hAnsi="Arial" w:cs="Arial"/>
          <w:sz w:val="24"/>
          <w:szCs w:val="24"/>
        </w:rPr>
        <w:t xml:space="preserve"> para que esta sea débil</w:t>
      </w:r>
      <w:r>
        <w:rPr>
          <w:rFonts w:ascii="Arial" w:hAnsi="Arial" w:cs="Arial"/>
          <w:sz w:val="24"/>
          <w:szCs w:val="24"/>
        </w:rPr>
        <w:t>, la participación ciudadana requiere de un marco legal para que estas de manera organizada sean escuchadas.</w:t>
      </w:r>
    </w:p>
    <w:p w:rsidR="00C32074" w:rsidRDefault="00C32074" w:rsidP="00C32074">
      <w:pPr>
        <w:spacing w:line="360" w:lineRule="auto"/>
        <w:jc w:val="both"/>
        <w:rPr>
          <w:rFonts w:ascii="Arial" w:hAnsi="Arial" w:cs="Arial"/>
          <w:sz w:val="24"/>
          <w:szCs w:val="24"/>
        </w:rPr>
      </w:pPr>
      <w:r>
        <w:rPr>
          <w:rFonts w:ascii="Arial" w:hAnsi="Arial" w:cs="Arial"/>
          <w:sz w:val="24"/>
          <w:szCs w:val="24"/>
        </w:rPr>
        <w:t>En Chiapas existe una Ley de participación social la cual vigila que los programas se desarrollen de manera adecuada, esto a grandes rasgos ya que las atribuciones de la participación social a través de las asambleas de barrios son variadas e implican una serie de requisitos para su integración, esto es un claro ejemplo de mecanismos impulsados por el gobierno para incrementar la participación social.</w:t>
      </w:r>
    </w:p>
    <w:p w:rsidR="00C32074" w:rsidRDefault="00C32074" w:rsidP="00C32074">
      <w:pPr>
        <w:spacing w:line="360" w:lineRule="auto"/>
        <w:jc w:val="both"/>
        <w:rPr>
          <w:rFonts w:ascii="Arial" w:hAnsi="Arial" w:cs="Arial"/>
          <w:sz w:val="24"/>
          <w:szCs w:val="24"/>
        </w:rPr>
      </w:pPr>
      <w:r>
        <w:rPr>
          <w:rFonts w:ascii="Arial" w:hAnsi="Arial" w:cs="Arial"/>
          <w:sz w:val="24"/>
          <w:szCs w:val="24"/>
        </w:rPr>
        <w:lastRenderedPageBreak/>
        <w:t>La necesidad de que la sociedad civil participe en las decisiones políticas es cada vez más recurrente ya que ayuda a mantener una democracia sana</w:t>
      </w:r>
      <w:r w:rsidR="006C66DC">
        <w:rPr>
          <w:rFonts w:ascii="Arial" w:hAnsi="Arial" w:cs="Arial"/>
          <w:sz w:val="24"/>
          <w:szCs w:val="24"/>
        </w:rPr>
        <w:t>,</w:t>
      </w:r>
      <w:r>
        <w:rPr>
          <w:rFonts w:ascii="Arial" w:hAnsi="Arial" w:cs="Arial"/>
          <w:sz w:val="24"/>
          <w:szCs w:val="24"/>
        </w:rPr>
        <w:t xml:space="preserve"> siempre y cuando esta sea de manera organizada y con responsabilidad social.</w:t>
      </w:r>
    </w:p>
    <w:p w:rsidR="00C32074" w:rsidRDefault="00C32074" w:rsidP="00C32074">
      <w:pPr>
        <w:spacing w:line="360" w:lineRule="auto"/>
        <w:jc w:val="both"/>
        <w:rPr>
          <w:rFonts w:ascii="Arial" w:hAnsi="Arial" w:cs="Arial"/>
          <w:sz w:val="24"/>
          <w:szCs w:val="24"/>
        </w:rPr>
      </w:pPr>
      <w:r>
        <w:rPr>
          <w:rFonts w:ascii="Arial" w:hAnsi="Arial" w:cs="Arial"/>
          <w:sz w:val="24"/>
          <w:szCs w:val="24"/>
        </w:rPr>
        <w:t>La participación social en las auditorias gubernamentales deben de tomar más fuerza, los niveles de aceptación ciudadana se deben de enfocar más en desempeño que en resultados.</w:t>
      </w:r>
    </w:p>
    <w:p w:rsidR="00C32074" w:rsidRDefault="00C32074" w:rsidP="00C32074">
      <w:pPr>
        <w:spacing w:line="360" w:lineRule="auto"/>
        <w:jc w:val="both"/>
        <w:rPr>
          <w:rFonts w:ascii="Arial" w:hAnsi="Arial" w:cs="Arial"/>
          <w:sz w:val="24"/>
          <w:szCs w:val="24"/>
        </w:rPr>
      </w:pPr>
      <w:r>
        <w:rPr>
          <w:rFonts w:ascii="Arial" w:hAnsi="Arial" w:cs="Arial"/>
          <w:sz w:val="24"/>
          <w:szCs w:val="24"/>
        </w:rPr>
        <w:t>Lamentablemente esto ha tomado un curso diferente a lo que en teoría debería de ser, lo que nos lleva a reflexionar sobre la importancia del gobierno y lo frágil del sistema gubernamental, ya que muchos servidores públicos optan por la manipulación de las asambleas de barrios para justificar programas sociales esto junto con el desinterés por parte de la sociedad han incrementado los casos de corrupción.</w:t>
      </w:r>
    </w:p>
    <w:p w:rsidR="00C32074" w:rsidRDefault="00C32074" w:rsidP="00C32074">
      <w:pPr>
        <w:spacing w:line="360" w:lineRule="auto"/>
        <w:jc w:val="both"/>
        <w:rPr>
          <w:rFonts w:ascii="Arial" w:hAnsi="Arial" w:cs="Arial"/>
          <w:sz w:val="24"/>
          <w:szCs w:val="24"/>
        </w:rPr>
      </w:pPr>
      <w:r>
        <w:rPr>
          <w:rFonts w:ascii="Arial" w:hAnsi="Arial" w:cs="Arial"/>
          <w:sz w:val="24"/>
          <w:szCs w:val="24"/>
        </w:rPr>
        <w:t>Es una pena ofrecer un discurso pesimista con respecto a la participación social y su impacto en el estado, me niego en perder</w:t>
      </w:r>
      <w:r w:rsidR="006C66DC">
        <w:rPr>
          <w:rFonts w:ascii="Arial" w:hAnsi="Arial" w:cs="Arial"/>
          <w:sz w:val="24"/>
          <w:szCs w:val="24"/>
        </w:rPr>
        <w:t xml:space="preserve"> la fe en la ciudadanía</w:t>
      </w:r>
      <w:r>
        <w:rPr>
          <w:rFonts w:ascii="Arial" w:hAnsi="Arial" w:cs="Arial"/>
          <w:sz w:val="24"/>
          <w:szCs w:val="24"/>
        </w:rPr>
        <w:t xml:space="preserve">, las redes sociales han jugado un papel importante aunque subjetivo, las opiniones de desacreditación son cada vez más recurrentes grandes movimientos sociales vividos en años anteriores o diferentes países como Venezuela, Argentina o Guatemala nos recuerdan que el poder emana del pueblo. </w:t>
      </w:r>
    </w:p>
    <w:p w:rsidR="00C32074" w:rsidRDefault="00C32074" w:rsidP="00C32074">
      <w:pPr>
        <w:spacing w:line="360" w:lineRule="auto"/>
        <w:jc w:val="both"/>
        <w:rPr>
          <w:rFonts w:ascii="Arial" w:hAnsi="Arial" w:cs="Arial"/>
          <w:sz w:val="24"/>
          <w:szCs w:val="24"/>
        </w:rPr>
      </w:pPr>
      <w:r>
        <w:rPr>
          <w:rFonts w:ascii="Arial" w:hAnsi="Arial" w:cs="Arial"/>
          <w:sz w:val="24"/>
          <w:szCs w:val="24"/>
        </w:rPr>
        <w:t>La participación social no solo se basa en aprovechar los programas si no en reflexionar los resultados porque aunque ciertamente tenemos derecho a la información cuales son los verdaderos beneficios de las pantallas gratuitas, sabemos realmente diferenciar cuales son nuestras prioridades, que esperamos de nuestro gobierno y lo principal como lo apoyamos.</w:t>
      </w:r>
    </w:p>
    <w:p w:rsidR="006C66DC" w:rsidRDefault="006C66DC" w:rsidP="00C32074">
      <w:pPr>
        <w:spacing w:line="360" w:lineRule="auto"/>
        <w:jc w:val="both"/>
        <w:rPr>
          <w:rFonts w:ascii="Arial" w:hAnsi="Arial" w:cs="Arial"/>
          <w:sz w:val="24"/>
          <w:szCs w:val="24"/>
        </w:rPr>
      </w:pPr>
      <w:bookmarkStart w:id="0" w:name="_GoBack"/>
      <w:bookmarkEnd w:id="0"/>
    </w:p>
    <w:sectPr w:rsidR="006C66DC"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DE2" w:rsidRDefault="00695DE2" w:rsidP="007470DF">
      <w:pPr>
        <w:spacing w:after="0" w:line="240" w:lineRule="auto"/>
      </w:pPr>
      <w:r>
        <w:separator/>
      </w:r>
    </w:p>
  </w:endnote>
  <w:endnote w:type="continuationSeparator" w:id="0">
    <w:p w:rsidR="00695DE2" w:rsidRDefault="00695DE2"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7470DF" w:rsidRDefault="00C32074" w:rsidP="007470DF">
    <w:pPr>
      <w:pStyle w:val="Piedepgina"/>
      <w:jc w:val="center"/>
      <w:rPr>
        <w:rFonts w:ascii="Arial" w:hAnsi="Arial" w:cs="Arial"/>
        <w:b/>
        <w:sz w:val="18"/>
      </w:rPr>
    </w:pPr>
    <w:r>
      <w:rPr>
        <w:rFonts w:ascii="Arial" w:hAnsi="Arial" w:cs="Arial"/>
        <w:b/>
        <w:color w:val="000000"/>
        <w:szCs w:val="15"/>
      </w:rPr>
      <w:t>Rendición de cuentas y contraloría social</w:t>
    </w:r>
    <w:r w:rsidR="00FC6F4A"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5D038AD0" wp14:editId="6BF12899">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DE2" w:rsidRDefault="00695DE2" w:rsidP="007470DF">
      <w:pPr>
        <w:spacing w:after="0" w:line="240" w:lineRule="auto"/>
      </w:pPr>
      <w:r>
        <w:separator/>
      </w:r>
    </w:p>
  </w:footnote>
  <w:footnote w:type="continuationSeparator" w:id="0">
    <w:p w:rsidR="00695DE2" w:rsidRDefault="00695DE2"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11CC7BED" wp14:editId="6CBAFAA7">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5C2EC46A" wp14:editId="0931F7FE">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30669"/>
    <w:rsid w:val="000D18F4"/>
    <w:rsid w:val="001901B3"/>
    <w:rsid w:val="001B3391"/>
    <w:rsid w:val="00212F96"/>
    <w:rsid w:val="00221C15"/>
    <w:rsid w:val="00262A53"/>
    <w:rsid w:val="00351C87"/>
    <w:rsid w:val="00476FFB"/>
    <w:rsid w:val="00491AEF"/>
    <w:rsid w:val="004A677D"/>
    <w:rsid w:val="004D1559"/>
    <w:rsid w:val="00510105"/>
    <w:rsid w:val="00533C28"/>
    <w:rsid w:val="00540FB1"/>
    <w:rsid w:val="00695DE2"/>
    <w:rsid w:val="006C66DC"/>
    <w:rsid w:val="00736DE2"/>
    <w:rsid w:val="00745283"/>
    <w:rsid w:val="007470DF"/>
    <w:rsid w:val="007674B0"/>
    <w:rsid w:val="007D4531"/>
    <w:rsid w:val="00A55B03"/>
    <w:rsid w:val="00AA6CD8"/>
    <w:rsid w:val="00AD12B2"/>
    <w:rsid w:val="00BE0F09"/>
    <w:rsid w:val="00BE5780"/>
    <w:rsid w:val="00BF0FA0"/>
    <w:rsid w:val="00BF2944"/>
    <w:rsid w:val="00C32074"/>
    <w:rsid w:val="00C9376B"/>
    <w:rsid w:val="00CB309B"/>
    <w:rsid w:val="00CB7294"/>
    <w:rsid w:val="00D47BC2"/>
    <w:rsid w:val="00E42E9B"/>
    <w:rsid w:val="00E806FC"/>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5F0E57E6-8241-47BA-86E2-0A530672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3</cp:revision>
  <dcterms:created xsi:type="dcterms:W3CDTF">2016-01-27T22:17:00Z</dcterms:created>
  <dcterms:modified xsi:type="dcterms:W3CDTF">2016-01-27T22:22:00Z</dcterms:modified>
</cp:coreProperties>
</file>