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9B8" w:rsidRDefault="005869B8" w:rsidP="005869B8">
      <w:pPr>
        <w:shd w:val="clear" w:color="auto" w:fill="FFFFFF"/>
        <w:spacing w:after="0" w:line="360" w:lineRule="auto"/>
        <w:jc w:val="center"/>
        <w:rPr>
          <w:rFonts w:ascii="Arial" w:eastAsia="Times New Roman" w:hAnsi="Arial" w:cs="Arial"/>
          <w:b/>
          <w:lang w:eastAsia="es-MX"/>
        </w:rPr>
      </w:pPr>
      <w:r w:rsidRPr="00607010">
        <w:rPr>
          <w:rFonts w:ascii="Arial" w:eastAsia="Times New Roman" w:hAnsi="Arial" w:cs="Arial"/>
          <w:b/>
          <w:noProof/>
          <w:lang w:eastAsia="es-MX"/>
        </w:rPr>
        <w:drawing>
          <wp:anchor distT="0" distB="0" distL="114300" distR="114300" simplePos="0" relativeHeight="251659264" behindDoc="0" locked="0" layoutInCell="1" allowOverlap="1" wp14:anchorId="4D295844" wp14:editId="462C0504">
            <wp:simplePos x="1028700" y="1171575"/>
            <wp:positionH relativeFrom="margin">
              <wp:align>center</wp:align>
            </wp:positionH>
            <wp:positionV relativeFrom="margin">
              <wp:align>top</wp:align>
            </wp:positionV>
            <wp:extent cx="2743200" cy="676275"/>
            <wp:effectExtent l="0" t="0" r="0" b="9525"/>
            <wp:wrapSquare wrapText="bothSides"/>
            <wp:docPr id="1" name="Imagen 1" descr="C:\Users\Antonio\Desktop\PLANEACION ESTRATEGICA, Dr. ANTONIO PEREZ GOMEZ, antonio@imagenidea.com.mx\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PLANEACION ESTRATEGICA, Dr. ANTONIO PEREZ GOMEZ, antonio@imagenidea.com.mx\logo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anchor>
        </w:drawing>
      </w: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Default="005869B8" w:rsidP="005869B8">
      <w:pPr>
        <w:shd w:val="clear" w:color="auto" w:fill="FFFFFF"/>
        <w:spacing w:after="0" w:line="360" w:lineRule="auto"/>
        <w:jc w:val="center"/>
        <w:rPr>
          <w:rFonts w:ascii="Arial" w:eastAsia="Times New Roman" w:hAnsi="Arial" w:cs="Arial"/>
          <w:b/>
          <w:lang w:eastAsia="es-MX"/>
        </w:rPr>
      </w:pP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Maestría en Administración y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Diseño y Análisis de Políticas Públicas</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Dra. C. Odalys Peñate López</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bCs/>
          <w:lang w:eastAsia="es-MX"/>
        </w:rPr>
      </w:pPr>
      <w:r w:rsidRPr="005869B8">
        <w:rPr>
          <w:rFonts w:ascii="Arial" w:eastAsia="Times New Roman" w:hAnsi="Arial" w:cs="Arial"/>
          <w:bCs/>
          <w:lang w:eastAsia="es-MX"/>
        </w:rPr>
        <w:t xml:space="preserve">Actividad </w:t>
      </w:r>
      <w:r w:rsidR="00FE216B">
        <w:rPr>
          <w:rFonts w:ascii="Arial" w:eastAsia="Times New Roman" w:hAnsi="Arial" w:cs="Arial"/>
          <w:bCs/>
          <w:lang w:eastAsia="es-MX"/>
        </w:rPr>
        <w:t>4</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Cesar Iván Córdova Vera</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sidRPr="005869B8">
        <w:rPr>
          <w:rFonts w:ascii="Arial" w:eastAsia="Times New Roman" w:hAnsi="Arial" w:cs="Arial"/>
          <w:lang w:eastAsia="es-MX"/>
        </w:rPr>
        <w:t>03 de Mayo de 2015</w:t>
      </w:r>
    </w:p>
    <w:p w:rsidR="005869B8" w:rsidRPr="005869B8" w:rsidRDefault="005869B8" w:rsidP="005869B8">
      <w:pPr>
        <w:shd w:val="clear" w:color="auto" w:fill="FFFFFF"/>
        <w:spacing w:after="0" w:line="360" w:lineRule="auto"/>
        <w:jc w:val="center"/>
        <w:rPr>
          <w:rFonts w:ascii="Arial" w:eastAsia="Times New Roman" w:hAnsi="Arial" w:cs="Arial"/>
          <w:sz w:val="76"/>
          <w:szCs w:val="76"/>
          <w:lang w:eastAsia="es-MX"/>
        </w:rPr>
      </w:pPr>
    </w:p>
    <w:p w:rsidR="005869B8" w:rsidRPr="005869B8" w:rsidRDefault="005869B8" w:rsidP="005869B8">
      <w:pPr>
        <w:shd w:val="clear" w:color="auto" w:fill="FFFFFF"/>
        <w:spacing w:after="0" w:line="360" w:lineRule="auto"/>
        <w:jc w:val="center"/>
        <w:rPr>
          <w:rFonts w:ascii="Arial" w:eastAsia="Times New Roman" w:hAnsi="Arial" w:cs="Arial"/>
          <w:lang w:eastAsia="es-MX"/>
        </w:rPr>
      </w:pPr>
      <w:r>
        <w:rPr>
          <w:rFonts w:ascii="Arial" w:eastAsia="Times New Roman" w:hAnsi="Arial" w:cs="Arial"/>
          <w:lang w:eastAsia="es-MX"/>
        </w:rPr>
        <w:t>Tapachula, Chiapas, México.</w:t>
      </w:r>
    </w:p>
    <w:p w:rsidR="005869B8" w:rsidRPr="00CF5396" w:rsidRDefault="00FE216B" w:rsidP="00CF5396">
      <w:pPr>
        <w:shd w:val="clear" w:color="auto" w:fill="FFFFFF"/>
        <w:spacing w:after="0" w:line="360" w:lineRule="auto"/>
        <w:jc w:val="center"/>
        <w:rPr>
          <w:rFonts w:ascii="Arial" w:eastAsia="Times New Roman" w:hAnsi="Arial" w:cs="Arial"/>
          <w:b/>
          <w:bCs/>
          <w:lang w:eastAsia="es-MX"/>
        </w:rPr>
      </w:pPr>
      <w:r w:rsidRPr="00CF5396">
        <w:rPr>
          <w:rFonts w:ascii="Arial" w:eastAsia="Times New Roman" w:hAnsi="Arial" w:cs="Arial"/>
          <w:b/>
          <w:bCs/>
          <w:lang w:eastAsia="es-MX"/>
        </w:rPr>
        <w:lastRenderedPageBreak/>
        <w:t>Enfoque weberiano “”Jaula de Hierro”.</w:t>
      </w:r>
    </w:p>
    <w:p w:rsidR="005869B8" w:rsidRPr="00CF5396" w:rsidRDefault="005869B8" w:rsidP="00CF5396">
      <w:pPr>
        <w:shd w:val="clear" w:color="auto" w:fill="FFFFFF"/>
        <w:spacing w:after="0" w:line="360" w:lineRule="auto"/>
        <w:jc w:val="both"/>
        <w:rPr>
          <w:rFonts w:ascii="Arial" w:eastAsia="Times New Roman" w:hAnsi="Arial" w:cs="Arial"/>
          <w:bCs/>
          <w:lang w:eastAsia="es-MX"/>
        </w:rPr>
      </w:pPr>
    </w:p>
    <w:p w:rsidR="00D70A1F" w:rsidRDefault="00CF5396" w:rsidP="00CF5396">
      <w:pPr>
        <w:spacing w:after="0" w:line="360" w:lineRule="auto"/>
        <w:jc w:val="both"/>
        <w:rPr>
          <w:rFonts w:ascii="Arial" w:eastAsia="ArialMT" w:hAnsi="Arial" w:cs="Arial"/>
        </w:rPr>
      </w:pPr>
      <w:r w:rsidRPr="00CF5396">
        <w:rPr>
          <w:rFonts w:ascii="Arial" w:eastAsia="ArialMT" w:hAnsi="Arial" w:cs="Arial"/>
        </w:rPr>
        <w:t xml:space="preserve">En su prefacio, Weber nos aporta un descubrimiento cuando concluye –hace </w:t>
      </w:r>
      <w:r w:rsidR="00D70A1F" w:rsidRPr="00CF5396">
        <w:rPr>
          <w:rFonts w:ascii="Arial" w:eastAsia="ArialMT" w:hAnsi="Arial" w:cs="Arial"/>
        </w:rPr>
        <w:t>más</w:t>
      </w:r>
      <w:r w:rsidRPr="00CF5396">
        <w:rPr>
          <w:rFonts w:ascii="Arial" w:eastAsia="ArialMT" w:hAnsi="Arial" w:cs="Arial"/>
        </w:rPr>
        <w:t xml:space="preserve"> de 100 años- en su </w:t>
      </w:r>
      <w:r w:rsidRPr="00CF5396">
        <w:rPr>
          <w:rFonts w:ascii="Arial" w:eastAsia="ArialMT" w:hAnsi="Arial" w:cs="Arial"/>
          <w:i/>
        </w:rPr>
        <w:t>Ética protestante</w:t>
      </w:r>
      <w:r w:rsidRPr="00CF5396">
        <w:rPr>
          <w:rFonts w:ascii="Arial" w:eastAsia="ArialMT" w:hAnsi="Arial" w:cs="Arial"/>
        </w:rPr>
        <w:t xml:space="preserve"> y el</w:t>
      </w:r>
      <w:r w:rsidR="005F3BB0" w:rsidRPr="00CF5396">
        <w:rPr>
          <w:rFonts w:ascii="Arial" w:eastAsia="ArialMT" w:hAnsi="Arial" w:cs="Arial"/>
        </w:rPr>
        <w:t xml:space="preserve"> </w:t>
      </w:r>
      <w:r w:rsidRPr="00CF5396">
        <w:rPr>
          <w:rFonts w:ascii="Arial" w:eastAsia="ArialMT" w:hAnsi="Arial" w:cs="Arial"/>
          <w:i/>
        </w:rPr>
        <w:t>espíritu del capitalismo</w:t>
      </w:r>
      <w:r w:rsidRPr="00CF5396">
        <w:rPr>
          <w:rFonts w:ascii="Arial" w:eastAsia="ArialMT" w:hAnsi="Arial" w:cs="Arial"/>
        </w:rPr>
        <w:t xml:space="preserve"> y el proceso de la racionalidad</w:t>
      </w:r>
      <w:r>
        <w:rPr>
          <w:rFonts w:ascii="Arial" w:eastAsia="ArialMT" w:hAnsi="Arial" w:cs="Arial"/>
        </w:rPr>
        <w:t xml:space="preserve"> dominante del capitalismo lo llevara  agotar hasta la </w:t>
      </w:r>
      <w:r w:rsidR="00D70A1F">
        <w:rPr>
          <w:rFonts w:ascii="Arial" w:eastAsia="ArialMT" w:hAnsi="Arial" w:cs="Arial"/>
        </w:rPr>
        <w:t>última</w:t>
      </w:r>
      <w:r>
        <w:rPr>
          <w:rFonts w:ascii="Arial" w:eastAsia="ArialMT" w:hAnsi="Arial" w:cs="Arial"/>
        </w:rPr>
        <w:t xml:space="preserve"> tonelada de combustible </w:t>
      </w:r>
      <w:r w:rsidR="00D70A1F">
        <w:rPr>
          <w:rFonts w:ascii="Arial" w:eastAsia="ArialMT" w:hAnsi="Arial" w:cs="Arial"/>
        </w:rPr>
        <w:t>fósil</w:t>
      </w:r>
      <w:r>
        <w:rPr>
          <w:rFonts w:ascii="Arial" w:eastAsia="ArialMT" w:hAnsi="Arial" w:cs="Arial"/>
        </w:rPr>
        <w:t xml:space="preserve">. Las problemáticas contemporáneas de sustentabilidad y calentamiento global abren un intersticio crucial, del que por lo menos Weber estaba consciente, que proporciona una oportunidad clave para todos cuanto deseen reestudiarlo y desarrollar un enfoque </w:t>
      </w:r>
      <w:r w:rsidR="00D70A1F">
        <w:rPr>
          <w:rFonts w:ascii="Arial" w:eastAsia="ArialMT" w:hAnsi="Arial" w:cs="Arial"/>
        </w:rPr>
        <w:t>más</w:t>
      </w:r>
      <w:r>
        <w:rPr>
          <w:rFonts w:ascii="Arial" w:eastAsia="ArialMT" w:hAnsi="Arial" w:cs="Arial"/>
        </w:rPr>
        <w:t xml:space="preserve"> comprensivo de la vida organizacional, que considere seriamente </w:t>
      </w:r>
      <w:r w:rsidR="00D70A1F">
        <w:rPr>
          <w:rFonts w:ascii="Arial" w:eastAsia="ArialMT" w:hAnsi="Arial" w:cs="Arial"/>
        </w:rPr>
        <w:t>múltiples</w:t>
      </w:r>
      <w:r>
        <w:rPr>
          <w:rFonts w:ascii="Arial" w:eastAsia="ArialMT" w:hAnsi="Arial" w:cs="Arial"/>
        </w:rPr>
        <w:t xml:space="preserve"> forma de poder, dominación, conflicto y racionalidad.</w:t>
      </w:r>
    </w:p>
    <w:p w:rsidR="00D70A1F" w:rsidRDefault="00D70A1F" w:rsidP="00CF5396">
      <w:pPr>
        <w:spacing w:after="0" w:line="360" w:lineRule="auto"/>
        <w:jc w:val="both"/>
        <w:rPr>
          <w:rFonts w:ascii="Arial" w:eastAsia="ArialMT" w:hAnsi="Arial" w:cs="Arial"/>
        </w:rPr>
      </w:pPr>
    </w:p>
    <w:p w:rsidR="00D70A1F" w:rsidRDefault="00CF5396" w:rsidP="00CF5396">
      <w:pPr>
        <w:spacing w:after="0" w:line="360" w:lineRule="auto"/>
        <w:jc w:val="both"/>
        <w:rPr>
          <w:rFonts w:ascii="Arial" w:eastAsia="ArialMT" w:hAnsi="Arial" w:cs="Arial"/>
        </w:rPr>
      </w:pPr>
      <w:r>
        <w:rPr>
          <w:rFonts w:ascii="Arial" w:eastAsia="ArialMT" w:hAnsi="Arial" w:cs="Arial"/>
        </w:rPr>
        <w:t xml:space="preserve">Al avanzar en tales direcciones las organizaciones pueden verse menos como jaulas de hierro que constriñen y </w:t>
      </w:r>
      <w:r w:rsidR="00D70A1F">
        <w:rPr>
          <w:rFonts w:ascii="Arial" w:eastAsia="ArialMT" w:hAnsi="Arial" w:cs="Arial"/>
        </w:rPr>
        <w:t>más</w:t>
      </w:r>
      <w:r>
        <w:rPr>
          <w:rFonts w:ascii="Arial" w:eastAsia="ArialMT" w:hAnsi="Arial" w:cs="Arial"/>
        </w:rPr>
        <w:t xml:space="preserve"> como sitios de conflicto potencial, como medios porosos que otras organizaciones y actores interpenetran, lubricados por la política. Un autor que señala otra dirección por la cual podría fluir la política de Castell, en su trabajo sobre </w:t>
      </w:r>
      <w:r>
        <w:rPr>
          <w:rFonts w:ascii="Arial" w:eastAsia="ArialMT" w:hAnsi="Arial" w:cs="Arial"/>
          <w:i/>
        </w:rPr>
        <w:t>The Network Society</w:t>
      </w:r>
      <w:r>
        <w:rPr>
          <w:rFonts w:ascii="Arial" w:eastAsia="ArialMT" w:hAnsi="Arial" w:cs="Arial"/>
        </w:rPr>
        <w:t xml:space="preserve"> (</w:t>
      </w:r>
      <w:r w:rsidRPr="00CF5396">
        <w:rPr>
          <w:rFonts w:ascii="Arial" w:eastAsia="ArialMT" w:hAnsi="Arial" w:cs="Arial"/>
          <w:i/>
        </w:rPr>
        <w:t>La sociedad en red</w:t>
      </w:r>
      <w:r>
        <w:rPr>
          <w:rFonts w:ascii="Arial" w:eastAsia="ArialMT" w:hAnsi="Arial" w:cs="Arial"/>
        </w:rPr>
        <w:t xml:space="preserve">). </w:t>
      </w:r>
      <w:r w:rsidRPr="00AF4A65">
        <w:rPr>
          <w:rFonts w:ascii="Arial" w:eastAsia="ArialMT" w:hAnsi="Arial" w:cs="Arial"/>
        </w:rPr>
        <w:t xml:space="preserve">Brinda un homenaje directo a Weber en </w:t>
      </w:r>
      <w:r w:rsidRPr="00AF4A65">
        <w:rPr>
          <w:rFonts w:ascii="Arial" w:eastAsia="ArialMT" w:hAnsi="Arial" w:cs="Arial"/>
          <w:i/>
        </w:rPr>
        <w:t>The Rise of the Network Society</w:t>
      </w:r>
      <w:r w:rsidRPr="00AF4A65">
        <w:rPr>
          <w:rFonts w:ascii="Arial" w:eastAsia="ArialMT" w:hAnsi="Arial" w:cs="Arial"/>
        </w:rPr>
        <w:t xml:space="preserve"> (</w:t>
      </w:r>
      <w:r w:rsidR="00AF4A65" w:rsidRPr="00AF4A65">
        <w:rPr>
          <w:rFonts w:ascii="Arial" w:eastAsia="ArialMT" w:hAnsi="Arial" w:cs="Arial"/>
        </w:rPr>
        <w:t>El surgimiento de la sociedad en red</w:t>
      </w:r>
      <w:r w:rsidRPr="00AF4A65">
        <w:rPr>
          <w:rFonts w:ascii="Arial" w:eastAsia="ArialMT" w:hAnsi="Arial" w:cs="Arial"/>
        </w:rPr>
        <w:t>)</w:t>
      </w:r>
      <w:r w:rsidR="00AF4A65">
        <w:rPr>
          <w:rFonts w:ascii="Arial" w:eastAsia="ArialMT" w:hAnsi="Arial" w:cs="Arial"/>
        </w:rPr>
        <w:t xml:space="preserve"> (2000) y claramente trabaja con métodos y ambiciones similares.</w:t>
      </w:r>
    </w:p>
    <w:p w:rsidR="00D70A1F" w:rsidRDefault="00D70A1F" w:rsidP="00CF5396">
      <w:pPr>
        <w:spacing w:after="0" w:line="360" w:lineRule="auto"/>
        <w:jc w:val="both"/>
        <w:rPr>
          <w:rFonts w:ascii="Arial" w:eastAsia="ArialMT" w:hAnsi="Arial" w:cs="Arial"/>
        </w:rPr>
      </w:pPr>
    </w:p>
    <w:p w:rsidR="005F3BB0" w:rsidRDefault="00AF4A65" w:rsidP="00CF5396">
      <w:pPr>
        <w:spacing w:after="0" w:line="360" w:lineRule="auto"/>
        <w:jc w:val="both"/>
        <w:rPr>
          <w:rFonts w:ascii="Arial" w:eastAsia="ArialMT" w:hAnsi="Arial" w:cs="Arial"/>
        </w:rPr>
      </w:pPr>
      <w:r>
        <w:rPr>
          <w:rFonts w:ascii="Arial" w:eastAsia="ArialMT" w:hAnsi="Arial" w:cs="Arial"/>
        </w:rPr>
        <w:t xml:space="preserve">Existe otro espacio en el rol que desempeñan las sociedades y la idea que albergan una “dominación </w:t>
      </w:r>
      <w:r w:rsidR="00D70A1F">
        <w:rPr>
          <w:rFonts w:ascii="Arial" w:eastAsia="ArialMT" w:hAnsi="Arial" w:cs="Arial"/>
        </w:rPr>
        <w:t>ilegítima</w:t>
      </w:r>
      <w:r>
        <w:rPr>
          <w:rFonts w:ascii="Arial" w:eastAsia="ArialMT" w:hAnsi="Arial" w:cs="Arial"/>
        </w:rPr>
        <w:t>”. Las ciudades en tanto que lugares socioeconómicos en disputa, sacudidas por forma de dominación, podrían ser un área importante para estudios organizacionales imbuidos en Weber.</w:t>
      </w:r>
    </w:p>
    <w:p w:rsidR="00D70A1F" w:rsidRDefault="00D70A1F" w:rsidP="00CF5396">
      <w:pPr>
        <w:spacing w:after="0" w:line="360" w:lineRule="auto"/>
        <w:jc w:val="both"/>
        <w:rPr>
          <w:rFonts w:ascii="Arial" w:eastAsia="ArialMT" w:hAnsi="Arial" w:cs="Arial"/>
        </w:rPr>
      </w:pPr>
    </w:p>
    <w:p w:rsidR="00D70A1F" w:rsidRDefault="00AF4A65" w:rsidP="00CF5396">
      <w:pPr>
        <w:spacing w:after="0" w:line="360" w:lineRule="auto"/>
        <w:jc w:val="both"/>
        <w:rPr>
          <w:rFonts w:ascii="Arial" w:eastAsia="ArialMT" w:hAnsi="Arial" w:cs="Arial"/>
        </w:rPr>
      </w:pPr>
      <w:r>
        <w:rPr>
          <w:rFonts w:ascii="Arial" w:eastAsia="ArialMT" w:hAnsi="Arial" w:cs="Arial"/>
        </w:rPr>
        <w:t>Finalmente, hay eslabones que faltan por desarrollar entre Foucault y Weber (Clegg, 1995). Foucault, en tanto que preeminente académico influido por Nietzche a finales de siglo XX, presenta algunos puntos de evidente conexión con Weber en tanto que académico influido predominantemente por Nietzche en los albores del siglo XX, aunque estos vínculos quedaron sin explorar en el trabajo de Foucault (Clegg, 1995)</w:t>
      </w:r>
      <w:r w:rsidR="00D70A1F">
        <w:rPr>
          <w:rFonts w:ascii="Arial" w:eastAsia="ArialMT" w:hAnsi="Arial" w:cs="Arial"/>
        </w:rPr>
        <w:t>.</w:t>
      </w:r>
    </w:p>
    <w:p w:rsidR="00D70A1F" w:rsidRDefault="00D70A1F" w:rsidP="00CF5396">
      <w:pPr>
        <w:spacing w:after="0" w:line="360" w:lineRule="auto"/>
        <w:jc w:val="both"/>
        <w:rPr>
          <w:rFonts w:ascii="Arial" w:eastAsia="ArialMT" w:hAnsi="Arial" w:cs="Arial"/>
        </w:rPr>
      </w:pPr>
    </w:p>
    <w:p w:rsidR="00AF4A65" w:rsidRDefault="00AF4A65" w:rsidP="00CF5396">
      <w:pPr>
        <w:spacing w:after="0" w:line="360" w:lineRule="auto"/>
        <w:jc w:val="both"/>
        <w:rPr>
          <w:rFonts w:ascii="Arial" w:eastAsia="ArialMT" w:hAnsi="Arial" w:cs="Arial"/>
        </w:rPr>
      </w:pPr>
      <w:r>
        <w:rPr>
          <w:rFonts w:ascii="Arial" w:eastAsia="ArialMT" w:hAnsi="Arial" w:cs="Arial"/>
        </w:rPr>
        <w:t>¿Cómo utilizaremos a Foucault y cómo lo vincularemos con Weber?</w:t>
      </w:r>
      <w:r w:rsidR="00A3303E">
        <w:rPr>
          <w:rFonts w:ascii="Arial" w:eastAsia="ArialMT" w:hAnsi="Arial" w:cs="Arial"/>
        </w:rPr>
        <w:t xml:space="preserve"> Sugeriremos algunas aplicaciones desarrolladas en la geografía humana, a saber, la idea de trayectorias de vida lo desarrollara Hannah (1997) a partir del trabajo de Hagerstrand (1970) para mostrar cómo las ideas foucaultianas podrían operar fuera de la institución y en organizaciones </w:t>
      </w:r>
      <w:r w:rsidR="00D70A1F">
        <w:rPr>
          <w:rFonts w:ascii="Arial" w:eastAsia="ArialMT" w:hAnsi="Arial" w:cs="Arial"/>
        </w:rPr>
        <w:t>más</w:t>
      </w:r>
      <w:r w:rsidR="00A3303E">
        <w:rPr>
          <w:rFonts w:ascii="Arial" w:eastAsia="ArialMT" w:hAnsi="Arial" w:cs="Arial"/>
        </w:rPr>
        <w:t xml:space="preserve"> abiertas. La </w:t>
      </w:r>
      <w:r w:rsidR="00A3303E">
        <w:rPr>
          <w:rFonts w:ascii="Arial" w:eastAsia="ArialMT" w:hAnsi="Arial" w:cs="Arial"/>
        </w:rPr>
        <w:lastRenderedPageBreak/>
        <w:t>trayectoria de vida es una forma de representar y entender cómo es que la gente se mueve ordinariamente a través del tiempo y el espacio.</w:t>
      </w:r>
    </w:p>
    <w:p w:rsidR="00D70A1F" w:rsidRDefault="00D70A1F" w:rsidP="00CF5396">
      <w:pPr>
        <w:spacing w:after="0" w:line="360" w:lineRule="auto"/>
        <w:jc w:val="both"/>
        <w:rPr>
          <w:rFonts w:ascii="Arial" w:eastAsia="ArialMT" w:hAnsi="Arial" w:cs="Arial"/>
        </w:rPr>
      </w:pPr>
    </w:p>
    <w:p w:rsidR="00A3303E" w:rsidRDefault="00A3303E" w:rsidP="00CF5396">
      <w:pPr>
        <w:spacing w:after="0" w:line="360" w:lineRule="auto"/>
        <w:jc w:val="both"/>
        <w:rPr>
          <w:rFonts w:ascii="Arial" w:eastAsia="ArialMT" w:hAnsi="Arial" w:cs="Arial"/>
        </w:rPr>
      </w:pPr>
      <w:r>
        <w:rPr>
          <w:rFonts w:ascii="Arial" w:eastAsia="ArialMT" w:hAnsi="Arial" w:cs="Arial"/>
        </w:rPr>
        <w:t xml:space="preserve">Podemos comparar las trayectorias de vida de los individuos a través de las organizaciones. Podemos analizar visibilidad y responsabilidad de los integrantes de una organización en términos de diferentes regímenes de autoridad, </w:t>
      </w:r>
      <w:r w:rsidR="00D70A1F">
        <w:rPr>
          <w:rFonts w:ascii="Arial" w:eastAsia="ArialMT" w:hAnsi="Arial" w:cs="Arial"/>
        </w:rPr>
        <w:t>así</w:t>
      </w:r>
      <w:r>
        <w:rPr>
          <w:rFonts w:ascii="Arial" w:eastAsia="ArialMT" w:hAnsi="Arial" w:cs="Arial"/>
        </w:rPr>
        <w:t xml:space="preserve"> como en términos de los diferentes lapsos-temporales de discreción de los integrantes (Jacques, 1964). Como regla general podemos hacer la siguiente hipótesis:</w:t>
      </w:r>
    </w:p>
    <w:p w:rsidR="00D70A1F" w:rsidRDefault="00D70A1F" w:rsidP="00CF5396">
      <w:pPr>
        <w:spacing w:after="0" w:line="360" w:lineRule="auto"/>
        <w:jc w:val="both"/>
        <w:rPr>
          <w:rFonts w:ascii="Arial" w:eastAsia="ArialMT" w:hAnsi="Arial" w:cs="Arial"/>
        </w:rPr>
      </w:pPr>
    </w:p>
    <w:p w:rsidR="00A3303E" w:rsidRDefault="00A3303E" w:rsidP="00D70A1F">
      <w:pPr>
        <w:pStyle w:val="Prrafodelista"/>
        <w:numPr>
          <w:ilvl w:val="0"/>
          <w:numId w:val="3"/>
        </w:numPr>
        <w:spacing w:after="0" w:line="360" w:lineRule="auto"/>
        <w:ind w:left="357" w:hanging="357"/>
        <w:jc w:val="both"/>
        <w:rPr>
          <w:rFonts w:ascii="Arial" w:eastAsia="ArialMT" w:hAnsi="Arial" w:cs="Arial"/>
        </w:rPr>
      </w:pPr>
      <w:r w:rsidRPr="00A3303E">
        <w:rPr>
          <w:rFonts w:ascii="Arial" w:eastAsia="ArialMT" w:hAnsi="Arial" w:cs="Arial"/>
        </w:rPr>
        <w:t>Entre mayor sea el lapso-temporal de discreción de los integrantes individuales</w:t>
      </w:r>
      <w:r>
        <w:rPr>
          <w:rFonts w:ascii="Arial" w:eastAsia="ArialMT" w:hAnsi="Arial" w:cs="Arial"/>
        </w:rPr>
        <w:t xml:space="preserve"> m</w:t>
      </w:r>
      <w:r w:rsidRPr="00A3303E">
        <w:rPr>
          <w:rFonts w:ascii="Arial" w:eastAsia="ArialMT" w:hAnsi="Arial" w:cs="Arial"/>
        </w:rPr>
        <w:t>enor será la vigilancia de su trayectoria de vida organizacional</w:t>
      </w:r>
      <w:r>
        <w:rPr>
          <w:rFonts w:ascii="Arial" w:eastAsia="ArialMT" w:hAnsi="Arial" w:cs="Arial"/>
        </w:rPr>
        <w:t>.</w:t>
      </w:r>
    </w:p>
    <w:p w:rsidR="00D70A1F" w:rsidRDefault="00D70A1F" w:rsidP="00D70A1F">
      <w:pPr>
        <w:pStyle w:val="Prrafodelista"/>
        <w:spacing w:after="0" w:line="360" w:lineRule="auto"/>
        <w:ind w:left="357"/>
        <w:jc w:val="both"/>
        <w:rPr>
          <w:rFonts w:ascii="Arial" w:eastAsia="ArialMT" w:hAnsi="Arial" w:cs="Arial"/>
        </w:rPr>
      </w:pPr>
    </w:p>
    <w:p w:rsidR="00A3303E" w:rsidRDefault="00A3303E" w:rsidP="00D70A1F">
      <w:pPr>
        <w:pStyle w:val="Prrafodelista"/>
        <w:numPr>
          <w:ilvl w:val="0"/>
          <w:numId w:val="3"/>
        </w:numPr>
        <w:spacing w:after="0" w:line="360" w:lineRule="auto"/>
        <w:ind w:left="357" w:hanging="357"/>
        <w:jc w:val="both"/>
        <w:rPr>
          <w:rFonts w:ascii="Arial" w:eastAsia="ArialMT" w:hAnsi="Arial" w:cs="Arial"/>
        </w:rPr>
      </w:pPr>
      <w:r>
        <w:rPr>
          <w:rFonts w:ascii="Arial" w:eastAsia="ArialMT" w:hAnsi="Arial" w:cs="Arial"/>
        </w:rPr>
        <w:t>Entre menos correspondan los sujetos a los “normalmente sospechosos”, puestos en evidencia por el análisis bio-poder menos estarán sujetos al poder disciplinario.</w:t>
      </w:r>
    </w:p>
    <w:p w:rsidR="00A3303E" w:rsidRDefault="00A3303E"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Default="00D70A1F" w:rsidP="00A3303E">
      <w:pPr>
        <w:spacing w:after="0" w:line="360" w:lineRule="auto"/>
        <w:jc w:val="both"/>
        <w:rPr>
          <w:rFonts w:ascii="Arial" w:eastAsia="ArialMT" w:hAnsi="Arial" w:cs="Arial"/>
        </w:rPr>
      </w:pPr>
    </w:p>
    <w:p w:rsidR="00D70A1F" w:rsidRPr="00A3303E" w:rsidRDefault="00D70A1F" w:rsidP="00A3303E">
      <w:pPr>
        <w:spacing w:after="0" w:line="360" w:lineRule="auto"/>
        <w:jc w:val="both"/>
        <w:rPr>
          <w:rFonts w:ascii="Arial" w:eastAsia="ArialMT" w:hAnsi="Arial" w:cs="Arial"/>
        </w:rPr>
      </w:pPr>
    </w:p>
    <w:p w:rsidR="005F3BB0" w:rsidRPr="00CF5396" w:rsidRDefault="005F3BB0" w:rsidP="00CF5396">
      <w:pPr>
        <w:spacing w:after="0" w:line="360" w:lineRule="auto"/>
        <w:jc w:val="both"/>
        <w:rPr>
          <w:rFonts w:ascii="Arial" w:eastAsia="Times New Roman" w:hAnsi="Arial" w:cs="Arial"/>
          <w:b/>
          <w:lang w:eastAsia="es-MX"/>
        </w:rPr>
      </w:pPr>
      <w:r w:rsidRPr="00CF5396">
        <w:rPr>
          <w:rFonts w:ascii="Arial" w:eastAsia="Times New Roman" w:hAnsi="Arial" w:cs="Arial"/>
          <w:b/>
          <w:lang w:eastAsia="es-MX"/>
        </w:rPr>
        <w:t>Bibliografía</w:t>
      </w:r>
    </w:p>
    <w:p w:rsidR="00C047CA" w:rsidRPr="00CF5396" w:rsidRDefault="00C047CA" w:rsidP="00CF5396">
      <w:pPr>
        <w:spacing w:after="0" w:line="360" w:lineRule="auto"/>
        <w:jc w:val="both"/>
        <w:rPr>
          <w:rFonts w:ascii="Arial" w:eastAsia="Times New Roman" w:hAnsi="Arial" w:cs="Arial"/>
          <w:lang w:eastAsia="es-MX"/>
        </w:rPr>
      </w:pPr>
    </w:p>
    <w:p w:rsidR="00FE216B" w:rsidRPr="00CF5396" w:rsidRDefault="00FE216B" w:rsidP="00CF5396">
      <w:pPr>
        <w:spacing w:after="0" w:line="360" w:lineRule="auto"/>
        <w:jc w:val="both"/>
        <w:rPr>
          <w:rFonts w:ascii="Arial" w:eastAsia="Times New Roman" w:hAnsi="Arial" w:cs="Arial"/>
          <w:bCs/>
          <w:lang w:eastAsia="es-MX"/>
        </w:rPr>
      </w:pPr>
      <w:r w:rsidRPr="00CF5396">
        <w:rPr>
          <w:rFonts w:ascii="Arial" w:hAnsi="Arial" w:cs="Arial"/>
        </w:rPr>
        <w:t>AGLOMERAR LA JAU</w:t>
      </w:r>
      <w:r w:rsidR="00D70A1F">
        <w:rPr>
          <w:rFonts w:ascii="Arial" w:hAnsi="Arial" w:cs="Arial"/>
        </w:rPr>
        <w:t>LA DE HIERRO, Stewart Clegg y Mi</w:t>
      </w:r>
      <w:r w:rsidRPr="00CF5396">
        <w:rPr>
          <w:rFonts w:ascii="Arial" w:hAnsi="Arial" w:cs="Arial"/>
        </w:rPr>
        <w:t>chael Lounsbury.</w:t>
      </w:r>
      <w:bookmarkStart w:id="0" w:name="_GoBack"/>
      <w:bookmarkEnd w:id="0"/>
    </w:p>
    <w:sectPr w:rsidR="00FE216B" w:rsidRPr="00CF5396" w:rsidSect="005869B8">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003CB"/>
    <w:multiLevelType w:val="hybridMultilevel"/>
    <w:tmpl w:val="586A7358"/>
    <w:lvl w:ilvl="0" w:tplc="56880964">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635E6028"/>
    <w:multiLevelType w:val="hybridMultilevel"/>
    <w:tmpl w:val="36D625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4F6577C"/>
    <w:multiLevelType w:val="hybridMultilevel"/>
    <w:tmpl w:val="B7C0F9B8"/>
    <w:lvl w:ilvl="0" w:tplc="B4CEE598">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6"/>
    <w:rsid w:val="005869B8"/>
    <w:rsid w:val="005F3BB0"/>
    <w:rsid w:val="007C1E92"/>
    <w:rsid w:val="00A3303E"/>
    <w:rsid w:val="00AF4A65"/>
    <w:rsid w:val="00C047CA"/>
    <w:rsid w:val="00C764D4"/>
    <w:rsid w:val="00CF5396"/>
    <w:rsid w:val="00D07F16"/>
    <w:rsid w:val="00D70A1F"/>
    <w:rsid w:val="00FE21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B8"/>
  </w:style>
  <w:style w:type="paragraph" w:styleId="Ttulo1">
    <w:name w:val="heading 1"/>
    <w:basedOn w:val="Normal"/>
    <w:next w:val="Normal"/>
    <w:link w:val="Ttulo1Car"/>
    <w:uiPriority w:val="9"/>
    <w:qFormat/>
    <w:rsid w:val="00CF5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F53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3BB0"/>
    <w:pPr>
      <w:ind w:left="720"/>
      <w:contextualSpacing/>
    </w:pPr>
  </w:style>
  <w:style w:type="character" w:customStyle="1" w:styleId="Ttulo1Car">
    <w:name w:val="Título 1 Car"/>
    <w:basedOn w:val="Fuentedeprrafopredeter"/>
    <w:link w:val="Ttulo1"/>
    <w:uiPriority w:val="9"/>
    <w:rsid w:val="00CF539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F5396"/>
    <w:rPr>
      <w:rFonts w:asciiTheme="majorHAnsi" w:eastAsiaTheme="majorEastAsia" w:hAnsiTheme="majorHAnsi" w:cstheme="majorBidi"/>
      <w:b/>
      <w:bCs/>
      <w:color w:val="4F81BD" w:themeColor="accent1"/>
      <w:sz w:val="26"/>
      <w:szCs w:val="26"/>
    </w:rPr>
  </w:style>
  <w:style w:type="paragraph" w:styleId="Fecha">
    <w:name w:val="Date"/>
    <w:basedOn w:val="Normal"/>
    <w:next w:val="Normal"/>
    <w:link w:val="FechaCar"/>
    <w:uiPriority w:val="99"/>
    <w:unhideWhenUsed/>
    <w:rsid w:val="00CF5396"/>
  </w:style>
  <w:style w:type="character" w:customStyle="1" w:styleId="FechaCar">
    <w:name w:val="Fecha Car"/>
    <w:basedOn w:val="Fuentedeprrafopredeter"/>
    <w:link w:val="Fecha"/>
    <w:uiPriority w:val="99"/>
    <w:rsid w:val="00CF5396"/>
  </w:style>
  <w:style w:type="paragraph" w:styleId="Textoindependiente">
    <w:name w:val="Body Text"/>
    <w:basedOn w:val="Normal"/>
    <w:link w:val="TextoindependienteCar"/>
    <w:uiPriority w:val="99"/>
    <w:unhideWhenUsed/>
    <w:rsid w:val="00CF5396"/>
    <w:pPr>
      <w:spacing w:after="120"/>
    </w:pPr>
  </w:style>
  <w:style w:type="character" w:customStyle="1" w:styleId="TextoindependienteCar">
    <w:name w:val="Texto independiente Car"/>
    <w:basedOn w:val="Fuentedeprrafopredeter"/>
    <w:link w:val="Textoindependiente"/>
    <w:uiPriority w:val="99"/>
    <w:rsid w:val="00CF5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535</Words>
  <Characters>2944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dc:creator>
  <cp:keywords/>
  <dc:description/>
  <cp:lastModifiedBy>Marcos</cp:lastModifiedBy>
  <cp:revision>8</cp:revision>
  <dcterms:created xsi:type="dcterms:W3CDTF">2015-05-03T18:17:00Z</dcterms:created>
  <dcterms:modified xsi:type="dcterms:W3CDTF">2015-05-03T21:42:00Z</dcterms:modified>
</cp:coreProperties>
</file>