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21" w:rsidRPr="0037766E" w:rsidRDefault="00CA1B21" w:rsidP="00CA1B21">
      <w:pPr>
        <w:pStyle w:val="Encabezado"/>
      </w:pPr>
    </w:p>
    <w:p w:rsidR="00CA1B21" w:rsidRDefault="00CA1B21" w:rsidP="00CA1B21">
      <w:pPr>
        <w:pStyle w:val="Encabezado"/>
      </w:pPr>
    </w:p>
    <w:p w:rsidR="00DD4CEE" w:rsidRPr="0037766E" w:rsidRDefault="00DD4CEE" w:rsidP="00CA1B21">
      <w:pPr>
        <w:pStyle w:val="Encabezado"/>
      </w:pPr>
    </w:p>
    <w:p w:rsidR="00CA1B21" w:rsidRPr="00DD4CEE"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ASIGNATURA</w:t>
      </w:r>
    </w:p>
    <w:p w:rsidR="00CA1B21" w:rsidRPr="00DD4CEE" w:rsidRDefault="007C438F" w:rsidP="00CA1B21">
      <w:pPr>
        <w:spacing w:after="0"/>
        <w:jc w:val="center"/>
        <w:rPr>
          <w:rFonts w:ascii="Arial" w:eastAsia="GungsuhChe" w:hAnsi="Arial" w:cs="Arial"/>
          <w:sz w:val="36"/>
          <w:szCs w:val="36"/>
        </w:rPr>
      </w:pPr>
      <w:r>
        <w:rPr>
          <w:rFonts w:ascii="Arial" w:eastAsia="GungsuhChe" w:hAnsi="Arial" w:cs="Arial"/>
          <w:sz w:val="36"/>
          <w:szCs w:val="36"/>
        </w:rPr>
        <w:t xml:space="preserve">ANÁLISIS Y DISEÑO DE POLÍTICAS </w:t>
      </w:r>
      <w:r w:rsidR="00873373">
        <w:rPr>
          <w:rFonts w:ascii="Arial" w:eastAsia="GungsuhChe" w:hAnsi="Arial" w:cs="Arial"/>
          <w:sz w:val="36"/>
          <w:szCs w:val="36"/>
        </w:rPr>
        <w:t>PÚBLICAS</w:t>
      </w:r>
    </w:p>
    <w:p w:rsidR="003D4672" w:rsidRPr="00DD4CEE" w:rsidRDefault="003D4672" w:rsidP="00CA1B21">
      <w:pPr>
        <w:jc w:val="center"/>
        <w:rPr>
          <w:rFonts w:ascii="Arial" w:eastAsia="GungsuhChe" w:hAnsi="Arial" w:cs="Arial"/>
          <w:b/>
          <w:sz w:val="36"/>
          <w:szCs w:val="36"/>
        </w:rPr>
      </w:pPr>
    </w:p>
    <w:p w:rsidR="00CA1B21" w:rsidRPr="00DD4CEE" w:rsidRDefault="003D4672" w:rsidP="00CA1B21">
      <w:pPr>
        <w:jc w:val="center"/>
        <w:rPr>
          <w:rFonts w:ascii="Arial" w:eastAsia="GungsuhChe" w:hAnsi="Arial" w:cs="Arial"/>
          <w:b/>
          <w:sz w:val="36"/>
          <w:szCs w:val="36"/>
        </w:rPr>
      </w:pPr>
      <w:r w:rsidRPr="00DD4CEE">
        <w:rPr>
          <w:rFonts w:ascii="Arial" w:eastAsia="GungsuhChe" w:hAnsi="Arial" w:cs="Arial"/>
          <w:b/>
          <w:sz w:val="36"/>
          <w:szCs w:val="36"/>
        </w:rPr>
        <w:t xml:space="preserve">CATEDRÁTICO </w:t>
      </w:r>
    </w:p>
    <w:p w:rsidR="00DD6DBD" w:rsidRPr="00DD4CEE" w:rsidRDefault="00DD4CEE" w:rsidP="00DD6DBD">
      <w:pPr>
        <w:pStyle w:val="Sinespaciado"/>
        <w:jc w:val="center"/>
        <w:rPr>
          <w:rFonts w:ascii="Arial" w:hAnsi="Arial" w:cs="Arial"/>
          <w:sz w:val="36"/>
          <w:szCs w:val="36"/>
        </w:rPr>
      </w:pPr>
      <w:r>
        <w:rPr>
          <w:rFonts w:ascii="Arial" w:hAnsi="Arial" w:cs="Arial"/>
          <w:color w:val="000000" w:themeColor="text1"/>
          <w:sz w:val="36"/>
          <w:szCs w:val="36"/>
        </w:rPr>
        <w:t xml:space="preserve">Dra. </w:t>
      </w:r>
      <w:r w:rsidR="007C438F">
        <w:rPr>
          <w:rFonts w:ascii="Arial" w:hAnsi="Arial" w:cs="Arial"/>
          <w:color w:val="000000" w:themeColor="text1"/>
          <w:sz w:val="36"/>
          <w:szCs w:val="36"/>
        </w:rPr>
        <w:t xml:space="preserve">ODALYS PEÑATE LÓPEZ. </w:t>
      </w:r>
    </w:p>
    <w:p w:rsidR="003D4672" w:rsidRDefault="003D4672" w:rsidP="00CA1B21">
      <w:pPr>
        <w:spacing w:after="0"/>
        <w:jc w:val="center"/>
        <w:rPr>
          <w:rFonts w:ascii="Arial" w:eastAsia="GungsuhChe" w:hAnsi="Arial" w:cs="Arial"/>
          <w:b/>
          <w:sz w:val="36"/>
          <w:szCs w:val="36"/>
        </w:rPr>
      </w:pPr>
    </w:p>
    <w:p w:rsidR="00DD4CEE" w:rsidRPr="00DD4CEE" w:rsidRDefault="00DD4CEE" w:rsidP="00CA1B21">
      <w:pPr>
        <w:spacing w:after="0"/>
        <w:jc w:val="center"/>
        <w:rPr>
          <w:rFonts w:ascii="Arial" w:eastAsia="GungsuhChe" w:hAnsi="Arial" w:cs="Arial"/>
          <w:b/>
          <w:sz w:val="36"/>
          <w:szCs w:val="36"/>
        </w:rPr>
      </w:pPr>
    </w:p>
    <w:p w:rsidR="00CA1B21" w:rsidRPr="00DD4CEE" w:rsidRDefault="00DD6DBD" w:rsidP="00DD6DBD">
      <w:pPr>
        <w:tabs>
          <w:tab w:val="center" w:pos="4702"/>
          <w:tab w:val="left" w:pos="7725"/>
        </w:tabs>
        <w:spacing w:after="0"/>
        <w:rPr>
          <w:rFonts w:ascii="Arial" w:eastAsia="GungsuhChe" w:hAnsi="Arial" w:cs="Arial"/>
          <w:b/>
          <w:sz w:val="36"/>
          <w:szCs w:val="36"/>
        </w:rPr>
      </w:pPr>
      <w:r w:rsidRPr="00DD4CEE">
        <w:rPr>
          <w:rFonts w:ascii="Arial" w:eastAsia="GungsuhChe" w:hAnsi="Arial" w:cs="Arial"/>
          <w:b/>
          <w:sz w:val="36"/>
          <w:szCs w:val="36"/>
        </w:rPr>
        <w:tab/>
      </w:r>
      <w:r w:rsidR="00CA1B21" w:rsidRPr="00DD4CEE">
        <w:rPr>
          <w:rFonts w:ascii="Arial" w:eastAsia="GungsuhChe" w:hAnsi="Arial" w:cs="Arial"/>
          <w:b/>
          <w:sz w:val="36"/>
          <w:szCs w:val="36"/>
        </w:rPr>
        <w:t>ALUMNO</w:t>
      </w:r>
      <w:r w:rsidRPr="00DD4CEE">
        <w:rPr>
          <w:rFonts w:ascii="Arial" w:eastAsia="GungsuhChe" w:hAnsi="Arial" w:cs="Arial"/>
          <w:b/>
          <w:sz w:val="36"/>
          <w:szCs w:val="36"/>
        </w:rPr>
        <w:tab/>
      </w:r>
    </w:p>
    <w:p w:rsidR="00CA1B21" w:rsidRPr="00DD4CEE" w:rsidRDefault="00CA1B21" w:rsidP="00CA1B21">
      <w:pPr>
        <w:spacing w:after="0"/>
        <w:jc w:val="center"/>
        <w:rPr>
          <w:rFonts w:ascii="Arial" w:eastAsia="GungsuhChe" w:hAnsi="Arial" w:cs="Arial"/>
          <w:sz w:val="36"/>
          <w:szCs w:val="36"/>
        </w:rPr>
      </w:pPr>
      <w:r w:rsidRPr="00DD4CEE">
        <w:rPr>
          <w:rFonts w:ascii="Arial" w:eastAsia="GungsuhChe" w:hAnsi="Arial" w:cs="Arial"/>
          <w:sz w:val="36"/>
          <w:szCs w:val="36"/>
        </w:rPr>
        <w:t>EUSEL VELAZQUEZ MAZARIEGOS.</w:t>
      </w:r>
    </w:p>
    <w:p w:rsidR="00CA1B21" w:rsidRDefault="00CA1B21" w:rsidP="00CA1B21">
      <w:pPr>
        <w:spacing w:after="0"/>
        <w:rPr>
          <w:rFonts w:ascii="Arial" w:eastAsia="GungsuhChe" w:hAnsi="Arial" w:cs="Arial"/>
          <w:sz w:val="36"/>
          <w:szCs w:val="36"/>
        </w:rPr>
      </w:pPr>
    </w:p>
    <w:p w:rsidR="00DD4CEE" w:rsidRPr="00DD4CEE" w:rsidRDefault="00DD4CEE" w:rsidP="00CA1B21">
      <w:pPr>
        <w:spacing w:after="0"/>
        <w:rPr>
          <w:rFonts w:ascii="Arial" w:eastAsia="GungsuhChe" w:hAnsi="Arial" w:cs="Arial"/>
          <w:sz w:val="36"/>
          <w:szCs w:val="36"/>
        </w:rPr>
      </w:pPr>
    </w:p>
    <w:p w:rsidR="00CA1B21"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ACTIVIDAD</w:t>
      </w:r>
      <w:r w:rsidR="00873373">
        <w:rPr>
          <w:rFonts w:ascii="Arial" w:eastAsia="GungsuhChe" w:hAnsi="Arial" w:cs="Arial"/>
          <w:b/>
          <w:sz w:val="36"/>
          <w:szCs w:val="36"/>
        </w:rPr>
        <w:t xml:space="preserve"> 03</w:t>
      </w:r>
    </w:p>
    <w:p w:rsidR="007C438F" w:rsidRPr="00DD4CEE" w:rsidRDefault="007C438F" w:rsidP="00CA1B21">
      <w:pPr>
        <w:spacing w:after="0"/>
        <w:jc w:val="center"/>
        <w:rPr>
          <w:rFonts w:ascii="Arial" w:eastAsia="GungsuhChe" w:hAnsi="Arial" w:cs="Arial"/>
          <w:b/>
          <w:sz w:val="36"/>
          <w:szCs w:val="36"/>
        </w:rPr>
      </w:pPr>
    </w:p>
    <w:p w:rsidR="00CA1B21" w:rsidRPr="00DD4CEE" w:rsidRDefault="00873373" w:rsidP="0077351B">
      <w:pPr>
        <w:spacing w:after="0"/>
        <w:jc w:val="center"/>
        <w:rPr>
          <w:rFonts w:ascii="Arial" w:eastAsia="GungsuhChe" w:hAnsi="Arial" w:cs="Arial"/>
          <w:sz w:val="36"/>
          <w:szCs w:val="36"/>
        </w:rPr>
      </w:pPr>
      <w:r>
        <w:rPr>
          <w:rFonts w:ascii="Arial" w:eastAsia="GungsuhChe" w:hAnsi="Arial" w:cs="Arial"/>
          <w:sz w:val="36"/>
          <w:szCs w:val="36"/>
        </w:rPr>
        <w:t>INVESTIGACIÓN DOCUMENTAL</w:t>
      </w:r>
    </w:p>
    <w:p w:rsidR="000050AA" w:rsidRDefault="000050AA"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Pr="00DD4CEE" w:rsidRDefault="00DD4CEE" w:rsidP="00CA1B21">
      <w:pPr>
        <w:jc w:val="right"/>
        <w:rPr>
          <w:rFonts w:ascii="Arial" w:eastAsia="GungsuhChe" w:hAnsi="Arial" w:cs="Arial"/>
          <w:sz w:val="36"/>
          <w:szCs w:val="36"/>
        </w:rPr>
      </w:pPr>
    </w:p>
    <w:p w:rsidR="00F12B2B" w:rsidRDefault="00CA1B21" w:rsidP="00C576DD">
      <w:pPr>
        <w:jc w:val="right"/>
        <w:rPr>
          <w:rFonts w:ascii="GungsuhChe" w:eastAsia="GungsuhChe" w:hAnsi="GungsuhChe"/>
          <w:sz w:val="24"/>
        </w:rPr>
      </w:pPr>
      <w:r w:rsidRPr="00DD4CEE">
        <w:rPr>
          <w:rFonts w:ascii="Arial" w:eastAsia="GungsuhChe" w:hAnsi="Arial" w:cs="Arial"/>
          <w:sz w:val="36"/>
          <w:szCs w:val="36"/>
        </w:rPr>
        <w:t xml:space="preserve">TAPACHULA CHIAPAS, </w:t>
      </w:r>
      <w:r w:rsidR="00DD6DBD" w:rsidRPr="00DD4CEE">
        <w:rPr>
          <w:rFonts w:ascii="Arial" w:eastAsia="GungsuhChe" w:hAnsi="Arial" w:cs="Arial"/>
          <w:sz w:val="36"/>
          <w:szCs w:val="36"/>
        </w:rPr>
        <w:t xml:space="preserve"> </w:t>
      </w:r>
      <w:r w:rsidR="00873373">
        <w:rPr>
          <w:rFonts w:ascii="Arial" w:eastAsia="GungsuhChe" w:hAnsi="Arial" w:cs="Arial"/>
          <w:sz w:val="36"/>
          <w:szCs w:val="36"/>
        </w:rPr>
        <w:t>MAYO</w:t>
      </w:r>
      <w:r w:rsidR="00DD6DBD" w:rsidRPr="00DD4CEE">
        <w:rPr>
          <w:rFonts w:ascii="Arial" w:eastAsia="GungsuhChe" w:hAnsi="Arial" w:cs="Arial"/>
          <w:sz w:val="36"/>
          <w:szCs w:val="36"/>
        </w:rPr>
        <w:t xml:space="preserve"> </w:t>
      </w:r>
      <w:r w:rsidR="00D66544" w:rsidRPr="00DD4CEE">
        <w:rPr>
          <w:rFonts w:ascii="Arial" w:eastAsia="GungsuhChe" w:hAnsi="Arial" w:cs="Arial"/>
          <w:sz w:val="36"/>
          <w:szCs w:val="36"/>
        </w:rPr>
        <w:t xml:space="preserve"> DE </w:t>
      </w:r>
      <w:r w:rsidR="00AA1859" w:rsidRPr="00DD4CEE">
        <w:rPr>
          <w:rFonts w:ascii="Arial" w:eastAsia="GungsuhChe" w:hAnsi="Arial" w:cs="Arial"/>
          <w:sz w:val="36"/>
          <w:szCs w:val="36"/>
        </w:rPr>
        <w:t>2015</w:t>
      </w:r>
      <w:r w:rsidRPr="0037766E">
        <w:rPr>
          <w:rFonts w:ascii="GungsuhChe" w:eastAsia="GungsuhChe" w:hAnsi="GungsuhChe"/>
          <w:sz w:val="24"/>
        </w:rPr>
        <w:t>.</w:t>
      </w:r>
      <w:bookmarkStart w:id="0" w:name="_GoBack"/>
      <w:bookmarkEnd w:id="0"/>
    </w:p>
    <w:p w:rsidR="00C576DD" w:rsidRPr="00C576DD" w:rsidRDefault="00C576DD" w:rsidP="00C576DD">
      <w:pPr>
        <w:jc w:val="right"/>
        <w:rPr>
          <w:rFonts w:ascii="GungsuhChe" w:eastAsia="GungsuhChe" w:hAnsi="GungsuhChe"/>
          <w:sz w:val="24"/>
        </w:rPr>
      </w:pPr>
    </w:p>
    <w:p w:rsidR="005C6FBD" w:rsidRDefault="007306BD" w:rsidP="005C6FBD">
      <w:pPr>
        <w:spacing w:line="360" w:lineRule="auto"/>
        <w:jc w:val="both"/>
        <w:rPr>
          <w:rFonts w:ascii="Arial" w:hAnsi="Arial" w:cs="Arial"/>
          <w:b/>
        </w:rPr>
      </w:pPr>
      <w:r>
        <w:rPr>
          <w:rFonts w:ascii="Arial" w:hAnsi="Arial" w:cs="Arial"/>
          <w:b/>
        </w:rPr>
        <w:lastRenderedPageBreak/>
        <w:t>Objetivos generales de la investigación</w:t>
      </w:r>
    </w:p>
    <w:p w:rsidR="007306BD" w:rsidRDefault="007306BD" w:rsidP="005C6FBD">
      <w:pPr>
        <w:spacing w:line="360" w:lineRule="auto"/>
        <w:jc w:val="both"/>
        <w:rPr>
          <w:rFonts w:ascii="Arial" w:hAnsi="Arial" w:cs="Arial"/>
        </w:rPr>
      </w:pPr>
      <w:r>
        <w:rPr>
          <w:rFonts w:ascii="Arial" w:hAnsi="Arial" w:cs="Arial"/>
        </w:rPr>
        <w:t xml:space="preserve">El  objetivo de la presente investigación </w:t>
      </w:r>
      <w:r w:rsidR="005A7922">
        <w:rPr>
          <w:rFonts w:ascii="Arial" w:hAnsi="Arial" w:cs="Arial"/>
        </w:rPr>
        <w:t xml:space="preserve"> es recopilar  información sobre la tipología de políticas públicas y los factores de clasificación como son: el enfoque político, las ciencias sociales y el marco normativo nacional.  Conocer la opinión de diferentes autores nos ayudan a comprender y a conocer mas sobre las políticas publicas.</w:t>
      </w:r>
    </w:p>
    <w:p w:rsidR="005A7922" w:rsidRPr="007306BD" w:rsidRDefault="005A7922" w:rsidP="005C6FBD">
      <w:pPr>
        <w:spacing w:line="360" w:lineRule="auto"/>
        <w:jc w:val="both"/>
        <w:rPr>
          <w:rFonts w:ascii="Arial" w:hAnsi="Arial" w:cs="Arial"/>
        </w:rPr>
      </w:pPr>
      <w:r>
        <w:rPr>
          <w:rFonts w:ascii="Arial" w:hAnsi="Arial" w:cs="Arial"/>
        </w:rPr>
        <w:t xml:space="preserve">La aportación </w:t>
      </w:r>
      <w:r w:rsidR="00A14A0C">
        <w:rPr>
          <w:rFonts w:ascii="Arial" w:hAnsi="Arial" w:cs="Arial"/>
        </w:rPr>
        <w:t>más</w:t>
      </w:r>
      <w:r>
        <w:rPr>
          <w:rFonts w:ascii="Arial" w:hAnsi="Arial" w:cs="Arial"/>
        </w:rPr>
        <w:t xml:space="preserve"> importante  a las políticas </w:t>
      </w:r>
      <w:r w:rsidR="00A14A0C">
        <w:rPr>
          <w:rFonts w:ascii="Arial" w:hAnsi="Arial" w:cs="Arial"/>
        </w:rPr>
        <w:t>públicas</w:t>
      </w:r>
      <w:r>
        <w:rPr>
          <w:rFonts w:ascii="Arial" w:hAnsi="Arial" w:cs="Arial"/>
        </w:rPr>
        <w:t xml:space="preserve"> lo hace</w:t>
      </w:r>
      <w:r w:rsidRPr="005C6FBD">
        <w:rPr>
          <w:rFonts w:ascii="Arial" w:hAnsi="Arial" w:cs="Arial"/>
        </w:rPr>
        <w:t xml:space="preserve"> Theodore</w:t>
      </w:r>
      <w:r>
        <w:rPr>
          <w:rFonts w:ascii="Arial" w:hAnsi="Arial" w:cs="Arial"/>
        </w:rPr>
        <w:t xml:space="preserve"> Lowi junto al pionero de las políticas </w:t>
      </w:r>
      <w:r w:rsidR="00A14A0C">
        <w:rPr>
          <w:rFonts w:ascii="Arial" w:hAnsi="Arial" w:cs="Arial"/>
        </w:rPr>
        <w:t>públicas</w:t>
      </w:r>
      <w:r>
        <w:rPr>
          <w:rFonts w:ascii="Arial" w:hAnsi="Arial" w:cs="Arial"/>
        </w:rPr>
        <w:t xml:space="preserve">  Harold Lasswell</w:t>
      </w:r>
      <w:r w:rsidR="00A14A0C">
        <w:rPr>
          <w:rFonts w:ascii="Arial" w:hAnsi="Arial" w:cs="Arial"/>
        </w:rPr>
        <w:t>.</w:t>
      </w:r>
    </w:p>
    <w:p w:rsidR="00484AC4" w:rsidRDefault="00484AC4" w:rsidP="00484AC4">
      <w:pPr>
        <w:tabs>
          <w:tab w:val="left" w:pos="3138"/>
        </w:tabs>
        <w:spacing w:line="360" w:lineRule="auto"/>
        <w:jc w:val="both"/>
        <w:rPr>
          <w:rFonts w:ascii="Arial" w:hAnsi="Arial" w:cs="Arial"/>
          <w:b/>
        </w:rPr>
      </w:pPr>
    </w:p>
    <w:p w:rsidR="00873373" w:rsidRPr="00484AC4" w:rsidRDefault="00873373" w:rsidP="00484AC4">
      <w:pPr>
        <w:spacing w:line="360" w:lineRule="auto"/>
        <w:jc w:val="both"/>
        <w:rPr>
          <w:rFonts w:ascii="Arial" w:hAnsi="Arial" w:cs="Arial"/>
          <w:b/>
        </w:rPr>
      </w:pPr>
      <w:r w:rsidRPr="007306BD">
        <w:rPr>
          <w:rFonts w:ascii="Arial" w:hAnsi="Arial" w:cs="Arial"/>
          <w:b/>
        </w:rPr>
        <w:t>Tipología  desde el enfoque politológico</w:t>
      </w:r>
    </w:p>
    <w:tbl>
      <w:tblPr>
        <w:tblStyle w:val="Cuadrculaclara"/>
        <w:tblpPr w:leftFromText="141" w:rightFromText="141" w:vertAnchor="text" w:tblpY="1"/>
        <w:tblOverlap w:val="never"/>
        <w:tblW w:w="0" w:type="auto"/>
        <w:tblLook w:val="04A0"/>
      </w:tblPr>
      <w:tblGrid>
        <w:gridCol w:w="2550"/>
        <w:gridCol w:w="3120"/>
      </w:tblGrid>
      <w:tr w:rsidR="00873373" w:rsidRPr="005C6FBD" w:rsidTr="00484AC4">
        <w:trPr>
          <w:cnfStyle w:val="100000000000"/>
        </w:trPr>
        <w:tc>
          <w:tcPr>
            <w:cnfStyle w:val="001000000000"/>
            <w:tcW w:w="2550" w:type="dxa"/>
            <w:vMerge w:val="restart"/>
            <w:hideMark/>
          </w:tcPr>
          <w:p w:rsidR="00873373" w:rsidRPr="005C6FBD" w:rsidRDefault="00873373" w:rsidP="00484AC4">
            <w:pPr>
              <w:spacing w:line="360" w:lineRule="auto"/>
              <w:jc w:val="both"/>
              <w:rPr>
                <w:rFonts w:ascii="Arial" w:hAnsi="Arial" w:cs="Arial"/>
              </w:rPr>
            </w:pPr>
            <w:r w:rsidRPr="005C6FBD">
              <w:rPr>
                <w:rFonts w:ascii="Arial" w:hAnsi="Arial" w:cs="Arial"/>
              </w:rPr>
              <w:t>Las políticas</w:t>
            </w:r>
            <w:r w:rsidR="005C6FBD">
              <w:rPr>
                <w:rFonts w:ascii="Arial" w:hAnsi="Arial" w:cs="Arial"/>
              </w:rPr>
              <w:t xml:space="preserve"> </w:t>
            </w:r>
            <w:r w:rsidRPr="005C6FBD">
              <w:rPr>
                <w:rFonts w:ascii="Arial" w:hAnsi="Arial" w:cs="Arial"/>
              </w:rPr>
              <w:t>públicas</w:t>
            </w:r>
            <w:r w:rsidR="005C6FBD">
              <w:rPr>
                <w:rFonts w:ascii="Arial" w:hAnsi="Arial" w:cs="Arial"/>
              </w:rPr>
              <w:t xml:space="preserve"> </w:t>
            </w:r>
            <w:r w:rsidRPr="005C6FBD">
              <w:rPr>
                <w:rFonts w:ascii="Arial" w:hAnsi="Arial" w:cs="Arial"/>
              </w:rPr>
              <w:t>son de cuatro tipos:</w:t>
            </w:r>
          </w:p>
        </w:tc>
        <w:tc>
          <w:tcPr>
            <w:tcW w:w="3120" w:type="dxa"/>
            <w:hideMark/>
          </w:tcPr>
          <w:p w:rsidR="00873373" w:rsidRPr="005C6FBD" w:rsidRDefault="00873373" w:rsidP="00484AC4">
            <w:pPr>
              <w:spacing w:line="360" w:lineRule="auto"/>
              <w:jc w:val="both"/>
              <w:cnfStyle w:val="100000000000"/>
              <w:rPr>
                <w:rFonts w:ascii="Arial" w:hAnsi="Arial" w:cs="Arial"/>
              </w:rPr>
            </w:pPr>
            <w:r w:rsidRPr="005C6FBD">
              <w:rPr>
                <w:rFonts w:ascii="Arial" w:hAnsi="Arial" w:cs="Arial"/>
              </w:rPr>
              <w:t>Regulatorias</w:t>
            </w:r>
          </w:p>
        </w:tc>
      </w:tr>
      <w:tr w:rsidR="00873373" w:rsidRPr="005C6FBD" w:rsidTr="00484AC4">
        <w:trPr>
          <w:cnfStyle w:val="000000100000"/>
        </w:trPr>
        <w:tc>
          <w:tcPr>
            <w:cnfStyle w:val="001000000000"/>
            <w:tcW w:w="0" w:type="auto"/>
            <w:vMerge/>
            <w:hideMark/>
          </w:tcPr>
          <w:p w:rsidR="00873373" w:rsidRPr="005C6FBD" w:rsidRDefault="00873373" w:rsidP="00484AC4">
            <w:pPr>
              <w:spacing w:line="360" w:lineRule="auto"/>
              <w:jc w:val="both"/>
              <w:rPr>
                <w:rFonts w:ascii="Arial" w:hAnsi="Arial" w:cs="Arial"/>
              </w:rPr>
            </w:pPr>
          </w:p>
        </w:tc>
        <w:tc>
          <w:tcPr>
            <w:tcW w:w="3120" w:type="dxa"/>
            <w:hideMark/>
          </w:tcPr>
          <w:p w:rsidR="00873373" w:rsidRPr="005C6FBD" w:rsidRDefault="00873373" w:rsidP="00484AC4">
            <w:pPr>
              <w:spacing w:line="360" w:lineRule="auto"/>
              <w:jc w:val="both"/>
              <w:cnfStyle w:val="000000100000"/>
              <w:rPr>
                <w:rFonts w:ascii="Arial" w:hAnsi="Arial" w:cs="Arial"/>
              </w:rPr>
            </w:pPr>
            <w:r w:rsidRPr="005C6FBD">
              <w:rPr>
                <w:rFonts w:ascii="Arial" w:hAnsi="Arial" w:cs="Arial"/>
              </w:rPr>
              <w:t>Distributivas</w:t>
            </w:r>
          </w:p>
        </w:tc>
      </w:tr>
      <w:tr w:rsidR="00873373" w:rsidRPr="005C6FBD" w:rsidTr="00484AC4">
        <w:trPr>
          <w:cnfStyle w:val="000000010000"/>
        </w:trPr>
        <w:tc>
          <w:tcPr>
            <w:cnfStyle w:val="001000000000"/>
            <w:tcW w:w="0" w:type="auto"/>
            <w:vMerge/>
            <w:hideMark/>
          </w:tcPr>
          <w:p w:rsidR="00873373" w:rsidRPr="005C6FBD" w:rsidRDefault="00873373" w:rsidP="00484AC4">
            <w:pPr>
              <w:spacing w:line="360" w:lineRule="auto"/>
              <w:jc w:val="both"/>
              <w:rPr>
                <w:rFonts w:ascii="Arial" w:hAnsi="Arial" w:cs="Arial"/>
              </w:rPr>
            </w:pPr>
          </w:p>
        </w:tc>
        <w:tc>
          <w:tcPr>
            <w:tcW w:w="3120" w:type="dxa"/>
            <w:hideMark/>
          </w:tcPr>
          <w:p w:rsidR="00873373" w:rsidRPr="005C6FBD" w:rsidRDefault="00873373" w:rsidP="00484AC4">
            <w:pPr>
              <w:spacing w:line="360" w:lineRule="auto"/>
              <w:jc w:val="both"/>
              <w:cnfStyle w:val="000000010000"/>
              <w:rPr>
                <w:rFonts w:ascii="Arial" w:hAnsi="Arial" w:cs="Arial"/>
              </w:rPr>
            </w:pPr>
            <w:r w:rsidRPr="005C6FBD">
              <w:rPr>
                <w:rFonts w:ascii="Arial" w:hAnsi="Arial" w:cs="Arial"/>
              </w:rPr>
              <w:t>Redistributivas</w:t>
            </w:r>
          </w:p>
        </w:tc>
      </w:tr>
      <w:tr w:rsidR="00873373" w:rsidRPr="005C6FBD" w:rsidTr="00484AC4">
        <w:trPr>
          <w:cnfStyle w:val="000000100000"/>
        </w:trPr>
        <w:tc>
          <w:tcPr>
            <w:cnfStyle w:val="001000000000"/>
            <w:tcW w:w="0" w:type="auto"/>
            <w:vMerge/>
            <w:hideMark/>
          </w:tcPr>
          <w:p w:rsidR="00873373" w:rsidRPr="005C6FBD" w:rsidRDefault="00873373" w:rsidP="00484AC4">
            <w:pPr>
              <w:spacing w:line="360" w:lineRule="auto"/>
              <w:jc w:val="both"/>
              <w:rPr>
                <w:rFonts w:ascii="Arial" w:hAnsi="Arial" w:cs="Arial"/>
              </w:rPr>
            </w:pPr>
          </w:p>
        </w:tc>
        <w:tc>
          <w:tcPr>
            <w:tcW w:w="3120" w:type="dxa"/>
            <w:hideMark/>
          </w:tcPr>
          <w:p w:rsidR="00873373" w:rsidRPr="005C6FBD" w:rsidRDefault="00873373" w:rsidP="00484AC4">
            <w:pPr>
              <w:spacing w:line="360" w:lineRule="auto"/>
              <w:jc w:val="both"/>
              <w:cnfStyle w:val="000000100000"/>
              <w:rPr>
                <w:rFonts w:ascii="Arial" w:hAnsi="Arial" w:cs="Arial"/>
              </w:rPr>
            </w:pPr>
            <w:r w:rsidRPr="005C6FBD">
              <w:rPr>
                <w:rFonts w:ascii="Arial" w:hAnsi="Arial" w:cs="Arial"/>
              </w:rPr>
              <w:t>Políticas constituyentes</w:t>
            </w:r>
          </w:p>
        </w:tc>
      </w:tr>
    </w:tbl>
    <w:p w:rsidR="00873373" w:rsidRPr="005C6FBD" w:rsidRDefault="00484AC4" w:rsidP="005C6FBD">
      <w:pPr>
        <w:spacing w:line="360" w:lineRule="auto"/>
        <w:jc w:val="both"/>
        <w:rPr>
          <w:rFonts w:ascii="Arial" w:hAnsi="Arial" w:cs="Arial"/>
        </w:rPr>
      </w:pPr>
      <w:r>
        <w:rPr>
          <w:rFonts w:ascii="Arial" w:hAnsi="Arial" w:cs="Arial"/>
        </w:rPr>
        <w:br w:type="textWrapping" w:clear="all"/>
      </w:r>
      <w:r w:rsidR="00873373" w:rsidRPr="005C6FBD">
        <w:rPr>
          <w:rFonts w:ascii="Arial" w:hAnsi="Arial" w:cs="Arial"/>
        </w:rPr>
        <w:t> </w:t>
      </w:r>
    </w:p>
    <w:p w:rsidR="00873373" w:rsidRPr="005C6FBD" w:rsidRDefault="00873373" w:rsidP="005C6FBD">
      <w:pPr>
        <w:spacing w:line="360" w:lineRule="auto"/>
        <w:jc w:val="both"/>
        <w:rPr>
          <w:rFonts w:ascii="Arial" w:hAnsi="Arial" w:cs="Arial"/>
        </w:rPr>
      </w:pPr>
      <w:r w:rsidRPr="007306BD">
        <w:rPr>
          <w:rFonts w:ascii="Arial" w:hAnsi="Arial" w:cs="Arial"/>
          <w:b/>
        </w:rPr>
        <w:t>Regulatorias:</w:t>
      </w:r>
      <w:r w:rsidRPr="005C6FBD">
        <w:rPr>
          <w:rFonts w:ascii="Arial" w:hAnsi="Arial" w:cs="Arial"/>
        </w:rPr>
        <w:t xml:space="preserve"> aquellas orientadas principalmente a lograr la realización de conductas deseadas o la no realización de conductas indeseadas. El énfasis está aquí en un enfoque conductual de las decisiones de los sujetos. Tal es el caso de las políticas de tránsito terrestre. El recientemente aprobado Reglamento de Tránsito no sólo plantea alternativas de solución al caos vehicular promoviendo y sancionando conductas en autos, sino también en las personas.</w:t>
      </w:r>
    </w:p>
    <w:p w:rsidR="00873373" w:rsidRPr="005C6FBD" w:rsidRDefault="00873373" w:rsidP="005C6FBD">
      <w:pPr>
        <w:spacing w:line="360" w:lineRule="auto"/>
        <w:jc w:val="both"/>
        <w:rPr>
          <w:rFonts w:ascii="Arial" w:hAnsi="Arial" w:cs="Arial"/>
        </w:rPr>
      </w:pPr>
      <w:r w:rsidRPr="007306BD">
        <w:rPr>
          <w:rFonts w:ascii="Arial" w:hAnsi="Arial" w:cs="Arial"/>
          <w:b/>
        </w:rPr>
        <w:t>Distributivas:</w:t>
      </w:r>
      <w:r w:rsidRPr="005C6FBD">
        <w:rPr>
          <w:rFonts w:ascii="Arial" w:hAnsi="Arial" w:cs="Arial"/>
        </w:rPr>
        <w:t xml:space="preserve"> aquellas destinadas a prestar bienes o servicios a los ciudadanos. El énfasis está en el “delivery” de servicios públicos, tales como los servicios de salud, educación y seguridad.</w:t>
      </w:r>
    </w:p>
    <w:p w:rsidR="00873373" w:rsidRPr="005C6FBD" w:rsidRDefault="00873373" w:rsidP="005C6FBD">
      <w:pPr>
        <w:spacing w:line="360" w:lineRule="auto"/>
        <w:jc w:val="both"/>
        <w:rPr>
          <w:rFonts w:ascii="Arial" w:hAnsi="Arial" w:cs="Arial"/>
        </w:rPr>
      </w:pPr>
      <w:r w:rsidRPr="007306BD">
        <w:rPr>
          <w:rFonts w:ascii="Arial" w:hAnsi="Arial" w:cs="Arial"/>
          <w:b/>
        </w:rPr>
        <w:t>Redistributivas:</w:t>
      </w:r>
      <w:r w:rsidRPr="005C6FBD">
        <w:rPr>
          <w:rFonts w:ascii="Arial" w:hAnsi="Arial" w:cs="Arial"/>
        </w:rPr>
        <w:t xml:space="preserve"> cuando se trata de políticas que recaudan de algunos para entregar a otros, en particular, por su condición de pobreza o vulnerabilidad. Los programas sociales son parte de las políticas redistributivas.</w:t>
      </w:r>
    </w:p>
    <w:p w:rsidR="00873373" w:rsidRPr="005C6FBD" w:rsidRDefault="00873373" w:rsidP="005C6FBD">
      <w:pPr>
        <w:spacing w:line="360" w:lineRule="auto"/>
        <w:jc w:val="both"/>
        <w:rPr>
          <w:rFonts w:ascii="Arial" w:hAnsi="Arial" w:cs="Arial"/>
        </w:rPr>
      </w:pPr>
      <w:r w:rsidRPr="007306BD">
        <w:rPr>
          <w:rFonts w:ascii="Arial" w:hAnsi="Arial" w:cs="Arial"/>
          <w:b/>
        </w:rPr>
        <w:lastRenderedPageBreak/>
        <w:t>Constituyentes:</w:t>
      </w:r>
      <w:r w:rsidRPr="005C6FBD">
        <w:rPr>
          <w:rFonts w:ascii="Arial" w:hAnsi="Arial" w:cs="Arial"/>
        </w:rPr>
        <w:t xml:space="preserve"> cuando modifican la organización misma del Estado. El caso más claro en nuestro país es el de las políticas de la descentralización</w:t>
      </w:r>
      <w:r w:rsidR="00162737">
        <w:rPr>
          <w:rFonts w:ascii="Arial" w:hAnsi="Arial" w:cs="Arial"/>
        </w:rPr>
        <w:t>.</w:t>
      </w:r>
      <w:r w:rsidR="00162737" w:rsidRPr="00162737">
        <w:rPr>
          <w:rFonts w:ascii="Arial" w:hAnsi="Arial" w:cs="Arial"/>
        </w:rPr>
        <w:t xml:space="preserve"> </w:t>
      </w:r>
      <w:hyperlink r:id="rId8" w:anchor="_ftnref3" w:history="1">
        <w:r w:rsidR="00162737">
          <w:rPr>
            <w:rStyle w:val="Hipervnculo"/>
            <w:rFonts w:ascii="Arial" w:hAnsi="Arial" w:cs="Arial"/>
          </w:rPr>
          <w:t>[1</w:t>
        </w:r>
        <w:r w:rsidR="00162737" w:rsidRPr="005C6FBD">
          <w:rPr>
            <w:rStyle w:val="Hipervnculo"/>
            <w:rFonts w:ascii="Arial" w:hAnsi="Arial" w:cs="Arial"/>
          </w:rPr>
          <w:t>]</w:t>
        </w:r>
      </w:hyperlink>
      <w:r w:rsidR="000938BB">
        <w:rPr>
          <w:rFonts w:ascii="Arial" w:hAnsi="Arial" w:cs="Arial"/>
        </w:rPr>
        <w:t xml:space="preserve"> </w:t>
      </w:r>
    </w:p>
    <w:p w:rsidR="00873373" w:rsidRPr="00A14A0C" w:rsidRDefault="00873373" w:rsidP="005C6FBD">
      <w:pPr>
        <w:spacing w:line="360" w:lineRule="auto"/>
        <w:jc w:val="both"/>
        <w:rPr>
          <w:rFonts w:ascii="Arial" w:hAnsi="Arial" w:cs="Arial"/>
          <w:b/>
        </w:rPr>
      </w:pPr>
      <w:r w:rsidRPr="00A14A0C">
        <w:rPr>
          <w:rFonts w:ascii="Arial" w:hAnsi="Arial" w:cs="Arial"/>
          <w:b/>
        </w:rPr>
        <w:t>Tipología desde las Ciencias Sociales</w:t>
      </w:r>
    </w:p>
    <w:tbl>
      <w:tblPr>
        <w:tblStyle w:val="Cuadrculaclara"/>
        <w:tblW w:w="5745" w:type="dxa"/>
        <w:tblLook w:val="04A0"/>
      </w:tblPr>
      <w:tblGrid>
        <w:gridCol w:w="2130"/>
        <w:gridCol w:w="3615"/>
      </w:tblGrid>
      <w:tr w:rsidR="00873373" w:rsidRPr="005C6FBD" w:rsidTr="00484AC4">
        <w:trPr>
          <w:cnfStyle w:val="100000000000"/>
        </w:trPr>
        <w:tc>
          <w:tcPr>
            <w:cnfStyle w:val="001000000000"/>
            <w:tcW w:w="2130" w:type="dxa"/>
            <w:vMerge w:val="restart"/>
            <w:hideMark/>
          </w:tcPr>
          <w:p w:rsidR="00873373" w:rsidRPr="005C6FBD" w:rsidRDefault="00873373" w:rsidP="005C6FBD">
            <w:pPr>
              <w:spacing w:line="360" w:lineRule="auto"/>
              <w:jc w:val="both"/>
              <w:rPr>
                <w:rFonts w:ascii="Arial" w:hAnsi="Arial" w:cs="Arial"/>
              </w:rPr>
            </w:pPr>
            <w:r w:rsidRPr="005C6FBD">
              <w:rPr>
                <w:rFonts w:ascii="Arial" w:hAnsi="Arial" w:cs="Arial"/>
              </w:rPr>
              <w:t>Sociales</w:t>
            </w:r>
          </w:p>
        </w:tc>
        <w:tc>
          <w:tcPr>
            <w:tcW w:w="3615" w:type="dxa"/>
            <w:hideMark/>
          </w:tcPr>
          <w:p w:rsidR="00873373" w:rsidRPr="005C6FBD" w:rsidRDefault="00873373" w:rsidP="005C6FBD">
            <w:pPr>
              <w:spacing w:line="360" w:lineRule="auto"/>
              <w:jc w:val="both"/>
              <w:cnfStyle w:val="100000000000"/>
              <w:rPr>
                <w:rFonts w:ascii="Arial" w:hAnsi="Arial" w:cs="Arial"/>
              </w:rPr>
            </w:pPr>
            <w:r w:rsidRPr="005C6FBD">
              <w:rPr>
                <w:rFonts w:ascii="Arial" w:hAnsi="Arial" w:cs="Arial"/>
              </w:rPr>
              <w:t>Salud</w:t>
            </w:r>
          </w:p>
        </w:tc>
      </w:tr>
      <w:tr w:rsidR="00873373" w:rsidRPr="005C6FBD" w:rsidTr="00484AC4">
        <w:trPr>
          <w:cnfStyle w:val="00000010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3615" w:type="dxa"/>
            <w:hideMark/>
          </w:tcPr>
          <w:p w:rsidR="00873373" w:rsidRPr="005C6FBD" w:rsidRDefault="00873373" w:rsidP="005C6FBD">
            <w:pPr>
              <w:spacing w:line="360" w:lineRule="auto"/>
              <w:jc w:val="both"/>
              <w:cnfStyle w:val="000000100000"/>
              <w:rPr>
                <w:rFonts w:ascii="Arial" w:hAnsi="Arial" w:cs="Arial"/>
              </w:rPr>
            </w:pPr>
            <w:r w:rsidRPr="005C6FBD">
              <w:rPr>
                <w:rFonts w:ascii="Arial" w:hAnsi="Arial" w:cs="Arial"/>
              </w:rPr>
              <w:t>Educación</w:t>
            </w:r>
          </w:p>
        </w:tc>
      </w:tr>
      <w:tr w:rsidR="00873373" w:rsidRPr="005C6FBD" w:rsidTr="00484AC4">
        <w:trPr>
          <w:cnfStyle w:val="00000001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3615" w:type="dxa"/>
            <w:hideMark/>
          </w:tcPr>
          <w:p w:rsidR="00873373" w:rsidRPr="005C6FBD" w:rsidRDefault="00873373" w:rsidP="005C6FBD">
            <w:pPr>
              <w:spacing w:line="360" w:lineRule="auto"/>
              <w:jc w:val="both"/>
              <w:cnfStyle w:val="000000010000"/>
              <w:rPr>
                <w:rFonts w:ascii="Arial" w:hAnsi="Arial" w:cs="Arial"/>
              </w:rPr>
            </w:pPr>
            <w:r w:rsidRPr="005C6FBD">
              <w:rPr>
                <w:rFonts w:ascii="Arial" w:hAnsi="Arial" w:cs="Arial"/>
              </w:rPr>
              <w:t>Vivienda, etc.</w:t>
            </w:r>
          </w:p>
        </w:tc>
      </w:tr>
      <w:tr w:rsidR="00873373" w:rsidRPr="005C6FBD" w:rsidTr="00484AC4">
        <w:trPr>
          <w:cnfStyle w:val="000000100000"/>
        </w:trPr>
        <w:tc>
          <w:tcPr>
            <w:cnfStyle w:val="001000000000"/>
            <w:tcW w:w="2130" w:type="dxa"/>
            <w:vMerge w:val="restart"/>
            <w:hideMark/>
          </w:tcPr>
          <w:p w:rsidR="00873373" w:rsidRPr="005C6FBD" w:rsidRDefault="00873373" w:rsidP="005C6FBD">
            <w:pPr>
              <w:spacing w:line="360" w:lineRule="auto"/>
              <w:jc w:val="both"/>
              <w:rPr>
                <w:rFonts w:ascii="Arial" w:hAnsi="Arial" w:cs="Arial"/>
              </w:rPr>
            </w:pPr>
            <w:r w:rsidRPr="005C6FBD">
              <w:rPr>
                <w:rFonts w:ascii="Arial" w:hAnsi="Arial" w:cs="Arial"/>
              </w:rPr>
              <w:t>Económicas </w:t>
            </w:r>
          </w:p>
        </w:tc>
        <w:tc>
          <w:tcPr>
            <w:tcW w:w="3615" w:type="dxa"/>
            <w:hideMark/>
          </w:tcPr>
          <w:p w:rsidR="00873373" w:rsidRPr="005C6FBD" w:rsidRDefault="00873373" w:rsidP="005C6FBD">
            <w:pPr>
              <w:spacing w:line="360" w:lineRule="auto"/>
              <w:jc w:val="both"/>
              <w:cnfStyle w:val="000000100000"/>
              <w:rPr>
                <w:rFonts w:ascii="Arial" w:hAnsi="Arial" w:cs="Arial"/>
              </w:rPr>
            </w:pPr>
            <w:r w:rsidRPr="005C6FBD">
              <w:rPr>
                <w:rFonts w:ascii="Arial" w:hAnsi="Arial" w:cs="Arial"/>
              </w:rPr>
              <w:t>Fiscales (MEF)</w:t>
            </w:r>
          </w:p>
        </w:tc>
      </w:tr>
      <w:tr w:rsidR="00873373" w:rsidRPr="005C6FBD" w:rsidTr="00484AC4">
        <w:trPr>
          <w:cnfStyle w:val="00000001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3615" w:type="dxa"/>
            <w:hideMark/>
          </w:tcPr>
          <w:p w:rsidR="00873373" w:rsidRPr="005C6FBD" w:rsidRDefault="00873373" w:rsidP="005C6FBD">
            <w:pPr>
              <w:spacing w:line="360" w:lineRule="auto"/>
              <w:jc w:val="both"/>
              <w:cnfStyle w:val="000000010000"/>
              <w:rPr>
                <w:rFonts w:ascii="Arial" w:hAnsi="Arial" w:cs="Arial"/>
              </w:rPr>
            </w:pPr>
            <w:r w:rsidRPr="005C6FBD">
              <w:rPr>
                <w:rFonts w:ascii="Arial" w:hAnsi="Arial" w:cs="Arial"/>
              </w:rPr>
              <w:t>Monetarias o cambiarias (BCR)</w:t>
            </w:r>
          </w:p>
        </w:tc>
      </w:tr>
      <w:tr w:rsidR="00873373" w:rsidRPr="005C6FBD" w:rsidTr="00484AC4">
        <w:trPr>
          <w:cnfStyle w:val="000000100000"/>
        </w:trPr>
        <w:tc>
          <w:tcPr>
            <w:cnfStyle w:val="001000000000"/>
            <w:tcW w:w="2130" w:type="dxa"/>
            <w:vMerge w:val="restart"/>
            <w:hideMark/>
          </w:tcPr>
          <w:p w:rsidR="00873373" w:rsidRPr="005C6FBD" w:rsidRDefault="00873373" w:rsidP="005C6FBD">
            <w:pPr>
              <w:spacing w:line="360" w:lineRule="auto"/>
              <w:jc w:val="both"/>
              <w:rPr>
                <w:rFonts w:ascii="Arial" w:hAnsi="Arial" w:cs="Arial"/>
              </w:rPr>
            </w:pPr>
            <w:r w:rsidRPr="005C6FBD">
              <w:rPr>
                <w:rFonts w:ascii="Arial" w:hAnsi="Arial" w:cs="Arial"/>
              </w:rPr>
              <w:t>De gestión </w:t>
            </w:r>
          </w:p>
        </w:tc>
        <w:tc>
          <w:tcPr>
            <w:tcW w:w="3615" w:type="dxa"/>
            <w:hideMark/>
          </w:tcPr>
          <w:p w:rsidR="00873373" w:rsidRPr="005C6FBD" w:rsidRDefault="00873373" w:rsidP="005C6FBD">
            <w:pPr>
              <w:spacing w:line="360" w:lineRule="auto"/>
              <w:jc w:val="both"/>
              <w:cnfStyle w:val="000000100000"/>
              <w:rPr>
                <w:rFonts w:ascii="Arial" w:hAnsi="Arial" w:cs="Arial"/>
              </w:rPr>
            </w:pPr>
            <w:r w:rsidRPr="005C6FBD">
              <w:rPr>
                <w:rFonts w:ascii="Arial" w:hAnsi="Arial" w:cs="Arial"/>
              </w:rPr>
              <w:t xml:space="preserve">Planificación del gasto </w:t>
            </w:r>
            <w:r w:rsidR="005C6FBD">
              <w:rPr>
                <w:rFonts w:ascii="Arial" w:hAnsi="Arial" w:cs="Arial"/>
              </w:rPr>
              <w:t xml:space="preserve"> </w:t>
            </w:r>
            <w:r w:rsidRPr="005C6FBD">
              <w:rPr>
                <w:rFonts w:ascii="Arial" w:hAnsi="Arial" w:cs="Arial"/>
              </w:rPr>
              <w:t xml:space="preserve"> financiera</w:t>
            </w:r>
          </w:p>
        </w:tc>
      </w:tr>
      <w:tr w:rsidR="00873373" w:rsidRPr="005C6FBD" w:rsidTr="00484AC4">
        <w:trPr>
          <w:cnfStyle w:val="00000001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3615" w:type="dxa"/>
            <w:hideMark/>
          </w:tcPr>
          <w:p w:rsidR="00873373" w:rsidRPr="005C6FBD" w:rsidRDefault="00873373" w:rsidP="005C6FBD">
            <w:pPr>
              <w:spacing w:line="360" w:lineRule="auto"/>
              <w:jc w:val="both"/>
              <w:cnfStyle w:val="000000010000"/>
              <w:rPr>
                <w:rFonts w:ascii="Arial" w:hAnsi="Arial" w:cs="Arial"/>
              </w:rPr>
            </w:pPr>
            <w:r w:rsidRPr="005C6FBD">
              <w:rPr>
                <w:rFonts w:ascii="Arial" w:hAnsi="Arial" w:cs="Arial"/>
              </w:rPr>
              <w:t>Servicio civil y</w:t>
            </w:r>
            <w:r w:rsidR="005C6FBD">
              <w:rPr>
                <w:rFonts w:ascii="Arial" w:hAnsi="Arial" w:cs="Arial"/>
              </w:rPr>
              <w:t xml:space="preserve"> </w:t>
            </w:r>
            <w:r w:rsidRPr="005C6FBD">
              <w:rPr>
                <w:rFonts w:ascii="Arial" w:hAnsi="Arial" w:cs="Arial"/>
              </w:rPr>
              <w:t>relaciones laborales</w:t>
            </w:r>
          </w:p>
        </w:tc>
      </w:tr>
      <w:tr w:rsidR="00873373" w:rsidRPr="005C6FBD" w:rsidTr="00484AC4">
        <w:trPr>
          <w:cnfStyle w:val="00000010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3615" w:type="dxa"/>
            <w:hideMark/>
          </w:tcPr>
          <w:p w:rsidR="00873373" w:rsidRPr="005C6FBD" w:rsidRDefault="00873373" w:rsidP="005C6FBD">
            <w:pPr>
              <w:spacing w:line="360" w:lineRule="auto"/>
              <w:jc w:val="both"/>
              <w:cnfStyle w:val="000000100000"/>
              <w:rPr>
                <w:rFonts w:ascii="Arial" w:hAnsi="Arial" w:cs="Arial"/>
              </w:rPr>
            </w:pPr>
            <w:r w:rsidRPr="005C6FBD">
              <w:rPr>
                <w:rFonts w:ascii="Arial" w:hAnsi="Arial" w:cs="Arial"/>
              </w:rPr>
              <w:t>Presupuesto y recaudación</w:t>
            </w:r>
          </w:p>
        </w:tc>
      </w:tr>
      <w:tr w:rsidR="00873373" w:rsidRPr="005C6FBD" w:rsidTr="00484AC4">
        <w:trPr>
          <w:cnfStyle w:val="00000001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3615" w:type="dxa"/>
            <w:hideMark/>
          </w:tcPr>
          <w:p w:rsidR="00873373" w:rsidRPr="005C6FBD" w:rsidRDefault="00873373" w:rsidP="005C6FBD">
            <w:pPr>
              <w:spacing w:line="360" w:lineRule="auto"/>
              <w:jc w:val="both"/>
              <w:cnfStyle w:val="000000010000"/>
              <w:rPr>
                <w:rFonts w:ascii="Arial" w:hAnsi="Arial" w:cs="Arial"/>
              </w:rPr>
            </w:pPr>
            <w:r w:rsidRPr="005C6FBD">
              <w:rPr>
                <w:rFonts w:ascii="Arial" w:hAnsi="Arial" w:cs="Arial"/>
              </w:rPr>
              <w:t>Organización y métodos</w:t>
            </w:r>
          </w:p>
        </w:tc>
      </w:tr>
      <w:tr w:rsidR="00873373" w:rsidRPr="005C6FBD" w:rsidTr="00484AC4">
        <w:trPr>
          <w:cnfStyle w:val="00000010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3615" w:type="dxa"/>
            <w:hideMark/>
          </w:tcPr>
          <w:p w:rsidR="00873373" w:rsidRPr="005C6FBD" w:rsidRDefault="00873373" w:rsidP="005C6FBD">
            <w:pPr>
              <w:spacing w:line="360" w:lineRule="auto"/>
              <w:jc w:val="both"/>
              <w:cnfStyle w:val="000000100000"/>
              <w:rPr>
                <w:rFonts w:ascii="Arial" w:hAnsi="Arial" w:cs="Arial"/>
              </w:rPr>
            </w:pPr>
            <w:r w:rsidRPr="005C6FBD">
              <w:rPr>
                <w:rFonts w:ascii="Arial" w:hAnsi="Arial" w:cs="Arial"/>
              </w:rPr>
              <w:t>Auditoría y evaluación</w:t>
            </w:r>
          </w:p>
        </w:tc>
      </w:tr>
    </w:tbl>
    <w:p w:rsidR="00873373" w:rsidRPr="005C6FBD" w:rsidRDefault="00873373" w:rsidP="005C6FBD">
      <w:pPr>
        <w:spacing w:line="360" w:lineRule="auto"/>
        <w:jc w:val="both"/>
        <w:rPr>
          <w:rFonts w:ascii="Arial" w:hAnsi="Arial" w:cs="Arial"/>
        </w:rPr>
      </w:pPr>
      <w:r w:rsidRPr="005C6FBD">
        <w:rPr>
          <w:rFonts w:ascii="Arial" w:hAnsi="Arial" w:cs="Arial"/>
        </w:rPr>
        <w:t>                                                                </w:t>
      </w:r>
    </w:p>
    <w:p w:rsidR="00873373" w:rsidRPr="005C6FBD" w:rsidRDefault="00873373" w:rsidP="005C6FBD">
      <w:pPr>
        <w:spacing w:line="360" w:lineRule="auto"/>
        <w:jc w:val="both"/>
        <w:rPr>
          <w:rFonts w:ascii="Arial" w:hAnsi="Arial" w:cs="Arial"/>
        </w:rPr>
      </w:pPr>
      <w:r w:rsidRPr="005C6FBD">
        <w:rPr>
          <w:rFonts w:ascii="Arial" w:hAnsi="Arial" w:cs="Arial"/>
        </w:rPr>
        <w:t>En ese sentido, se habla de:</w:t>
      </w:r>
    </w:p>
    <w:p w:rsidR="00873373" w:rsidRPr="005C6FBD" w:rsidRDefault="00873373" w:rsidP="005C6FBD">
      <w:pPr>
        <w:spacing w:line="360" w:lineRule="auto"/>
        <w:jc w:val="both"/>
        <w:rPr>
          <w:rFonts w:ascii="Arial" w:hAnsi="Arial" w:cs="Arial"/>
        </w:rPr>
      </w:pPr>
      <w:r w:rsidRPr="00484AC4">
        <w:rPr>
          <w:rFonts w:ascii="Arial" w:hAnsi="Arial" w:cs="Arial"/>
          <w:b/>
        </w:rPr>
        <w:t>Políticas sociales</w:t>
      </w:r>
      <w:r w:rsidRPr="005C6FBD">
        <w:rPr>
          <w:rFonts w:ascii="Arial" w:hAnsi="Arial" w:cs="Arial"/>
        </w:rPr>
        <w:t> para aquellas destinadas principalmente a aliviar la pobreza y/o necesidades básicas de los ciudadanos;</w:t>
      </w:r>
    </w:p>
    <w:p w:rsidR="000938BB" w:rsidRDefault="00873373" w:rsidP="005C6FBD">
      <w:pPr>
        <w:spacing w:line="360" w:lineRule="auto"/>
        <w:jc w:val="both"/>
        <w:rPr>
          <w:rFonts w:ascii="Arial" w:hAnsi="Arial" w:cs="Arial"/>
        </w:rPr>
      </w:pPr>
      <w:r w:rsidRPr="00484AC4">
        <w:rPr>
          <w:rFonts w:ascii="Arial" w:hAnsi="Arial" w:cs="Arial"/>
          <w:b/>
        </w:rPr>
        <w:t>Políticas económicas </w:t>
      </w:r>
      <w:r w:rsidRPr="005C6FBD">
        <w:rPr>
          <w:rFonts w:ascii="Arial" w:hAnsi="Arial" w:cs="Arial"/>
        </w:rPr>
        <w:t>cuando se refieren al manejo de la hacienda pública y las finanzas del Estado</w:t>
      </w:r>
    </w:p>
    <w:p w:rsidR="00873373" w:rsidRPr="005C6FBD" w:rsidRDefault="000938BB" w:rsidP="005C6FBD">
      <w:pPr>
        <w:spacing w:line="360" w:lineRule="auto"/>
        <w:jc w:val="both"/>
        <w:rPr>
          <w:rFonts w:ascii="Arial" w:hAnsi="Arial" w:cs="Arial"/>
        </w:rPr>
      </w:pPr>
      <w:r w:rsidRPr="00484AC4">
        <w:rPr>
          <w:rFonts w:ascii="Arial" w:hAnsi="Arial" w:cs="Arial"/>
          <w:b/>
        </w:rPr>
        <w:t>Políticas</w:t>
      </w:r>
      <w:r w:rsidR="00873373" w:rsidRPr="00484AC4">
        <w:rPr>
          <w:rFonts w:ascii="Arial" w:hAnsi="Arial" w:cs="Arial"/>
          <w:b/>
        </w:rPr>
        <w:t xml:space="preserve"> de gestión pública</w:t>
      </w:r>
      <w:r w:rsidRPr="00484AC4">
        <w:rPr>
          <w:rFonts w:ascii="Arial" w:hAnsi="Arial" w:cs="Arial"/>
          <w:b/>
        </w:rPr>
        <w:t xml:space="preserve">: </w:t>
      </w:r>
      <w:r w:rsidRPr="005C6FBD">
        <w:rPr>
          <w:rFonts w:ascii="Arial" w:hAnsi="Arial" w:cs="Arial"/>
        </w:rPr>
        <w:t>para</w:t>
      </w:r>
      <w:r w:rsidR="00873373" w:rsidRPr="005C6FBD">
        <w:rPr>
          <w:rFonts w:ascii="Arial" w:hAnsi="Arial" w:cs="Arial"/>
        </w:rPr>
        <w:t xml:space="preserve"> referirme a aquellos procesos decisionales orientados a resolver los problemas de organización y operación del aparato burocrático.</w:t>
      </w:r>
      <w:r w:rsidR="00162737" w:rsidRPr="00162737">
        <w:rPr>
          <w:rFonts w:ascii="Arial" w:hAnsi="Arial" w:cs="Arial"/>
        </w:rPr>
        <w:t xml:space="preserve"> </w:t>
      </w:r>
      <w:hyperlink r:id="rId9" w:anchor="_ftnref3" w:history="1">
        <w:r w:rsidR="00162737">
          <w:rPr>
            <w:rStyle w:val="Hipervnculo"/>
            <w:rFonts w:ascii="Arial" w:hAnsi="Arial" w:cs="Arial"/>
          </w:rPr>
          <w:t>[2</w:t>
        </w:r>
        <w:r w:rsidR="00162737" w:rsidRPr="005C6FBD">
          <w:rPr>
            <w:rStyle w:val="Hipervnculo"/>
            <w:rFonts w:ascii="Arial" w:hAnsi="Arial" w:cs="Arial"/>
          </w:rPr>
          <w:t>]</w:t>
        </w:r>
      </w:hyperlink>
    </w:p>
    <w:p w:rsidR="000938BB" w:rsidRDefault="000938BB" w:rsidP="005C6FBD">
      <w:pPr>
        <w:spacing w:line="360" w:lineRule="auto"/>
        <w:jc w:val="both"/>
        <w:rPr>
          <w:rFonts w:ascii="Arial" w:hAnsi="Arial" w:cs="Arial"/>
          <w:b/>
        </w:rPr>
      </w:pPr>
    </w:p>
    <w:p w:rsidR="00873373" w:rsidRPr="00484AC4" w:rsidRDefault="00873373" w:rsidP="005C6FBD">
      <w:pPr>
        <w:spacing w:line="360" w:lineRule="auto"/>
        <w:jc w:val="both"/>
        <w:rPr>
          <w:rFonts w:ascii="Arial" w:hAnsi="Arial" w:cs="Arial"/>
          <w:b/>
        </w:rPr>
      </w:pPr>
      <w:r w:rsidRPr="00484AC4">
        <w:rPr>
          <w:rFonts w:ascii="Arial" w:hAnsi="Arial" w:cs="Arial"/>
          <w:b/>
        </w:rPr>
        <w:t>Tipología  de Políticas Públicas a partir</w:t>
      </w:r>
      <w:r w:rsidR="00484AC4" w:rsidRPr="00484AC4">
        <w:rPr>
          <w:rFonts w:ascii="Arial" w:hAnsi="Arial" w:cs="Arial"/>
          <w:b/>
        </w:rPr>
        <w:t xml:space="preserve"> </w:t>
      </w:r>
      <w:r w:rsidRPr="00484AC4">
        <w:rPr>
          <w:rFonts w:ascii="Arial" w:hAnsi="Arial" w:cs="Arial"/>
          <w:b/>
        </w:rPr>
        <w:t>del marco normativo nacional</w:t>
      </w:r>
    </w:p>
    <w:p w:rsidR="00873373" w:rsidRPr="005C6FBD" w:rsidRDefault="00873373" w:rsidP="005C6FBD">
      <w:pPr>
        <w:spacing w:line="360" w:lineRule="auto"/>
        <w:jc w:val="both"/>
        <w:rPr>
          <w:rFonts w:ascii="Arial" w:hAnsi="Arial" w:cs="Arial"/>
        </w:rPr>
      </w:pPr>
      <w:r w:rsidRPr="005C6FBD">
        <w:rPr>
          <w:rFonts w:ascii="Arial" w:hAnsi="Arial" w:cs="Arial"/>
        </w:rPr>
        <w:t> </w:t>
      </w:r>
    </w:p>
    <w:tbl>
      <w:tblPr>
        <w:tblStyle w:val="Cuadrculaclara"/>
        <w:tblW w:w="0" w:type="auto"/>
        <w:tblLook w:val="04A0"/>
      </w:tblPr>
      <w:tblGrid>
        <w:gridCol w:w="3855"/>
        <w:gridCol w:w="4020"/>
      </w:tblGrid>
      <w:tr w:rsidR="00873373" w:rsidRPr="005C6FBD" w:rsidTr="00484AC4">
        <w:trPr>
          <w:cnfStyle w:val="100000000000"/>
        </w:trPr>
        <w:tc>
          <w:tcPr>
            <w:cnfStyle w:val="001000000000"/>
            <w:tcW w:w="3855" w:type="dxa"/>
            <w:vMerge w:val="restart"/>
            <w:hideMark/>
          </w:tcPr>
          <w:p w:rsidR="00873373" w:rsidRPr="005C6FBD" w:rsidRDefault="00873373" w:rsidP="005C6FBD">
            <w:pPr>
              <w:spacing w:line="360" w:lineRule="auto"/>
              <w:jc w:val="both"/>
              <w:rPr>
                <w:rFonts w:ascii="Arial" w:hAnsi="Arial" w:cs="Arial"/>
              </w:rPr>
            </w:pPr>
            <w:r w:rsidRPr="005C6FBD">
              <w:rPr>
                <w:rFonts w:ascii="Arial" w:hAnsi="Arial" w:cs="Arial"/>
              </w:rPr>
              <w:lastRenderedPageBreak/>
              <w:t>Por su proyección temporal</w:t>
            </w:r>
          </w:p>
        </w:tc>
        <w:tc>
          <w:tcPr>
            <w:tcW w:w="4020" w:type="dxa"/>
            <w:hideMark/>
          </w:tcPr>
          <w:p w:rsidR="00873373" w:rsidRPr="005C6FBD" w:rsidRDefault="00873373" w:rsidP="005C6FBD">
            <w:pPr>
              <w:spacing w:line="360" w:lineRule="auto"/>
              <w:jc w:val="both"/>
              <w:cnfStyle w:val="100000000000"/>
              <w:rPr>
                <w:rFonts w:ascii="Arial" w:hAnsi="Arial" w:cs="Arial"/>
              </w:rPr>
            </w:pPr>
            <w:r w:rsidRPr="005C6FBD">
              <w:rPr>
                <w:rFonts w:ascii="Arial" w:hAnsi="Arial" w:cs="Arial"/>
              </w:rPr>
              <w:t>Políticas de Estado</w:t>
            </w:r>
          </w:p>
        </w:tc>
      </w:tr>
      <w:tr w:rsidR="00873373" w:rsidRPr="005C6FBD" w:rsidTr="00484AC4">
        <w:trPr>
          <w:cnfStyle w:val="00000010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4020" w:type="dxa"/>
            <w:hideMark/>
          </w:tcPr>
          <w:p w:rsidR="00873373" w:rsidRPr="005C6FBD" w:rsidRDefault="00873373" w:rsidP="005C6FBD">
            <w:pPr>
              <w:spacing w:line="360" w:lineRule="auto"/>
              <w:jc w:val="both"/>
              <w:cnfStyle w:val="000000100000"/>
              <w:rPr>
                <w:rFonts w:ascii="Arial" w:hAnsi="Arial" w:cs="Arial"/>
              </w:rPr>
            </w:pPr>
            <w:r w:rsidRPr="005C6FBD">
              <w:rPr>
                <w:rFonts w:ascii="Arial" w:hAnsi="Arial" w:cs="Arial"/>
              </w:rPr>
              <w:t>Políticas de Gobierno</w:t>
            </w:r>
          </w:p>
        </w:tc>
      </w:tr>
      <w:tr w:rsidR="00873373" w:rsidRPr="005C6FBD" w:rsidTr="00484AC4">
        <w:trPr>
          <w:cnfStyle w:val="000000010000"/>
        </w:trPr>
        <w:tc>
          <w:tcPr>
            <w:cnfStyle w:val="001000000000"/>
            <w:tcW w:w="3855" w:type="dxa"/>
            <w:vMerge w:val="restart"/>
            <w:hideMark/>
          </w:tcPr>
          <w:p w:rsidR="00873373" w:rsidRPr="005C6FBD" w:rsidRDefault="00873373" w:rsidP="005C6FBD">
            <w:pPr>
              <w:spacing w:line="360" w:lineRule="auto"/>
              <w:jc w:val="both"/>
              <w:rPr>
                <w:rFonts w:ascii="Arial" w:hAnsi="Arial" w:cs="Arial"/>
              </w:rPr>
            </w:pPr>
            <w:r w:rsidRPr="005C6FBD">
              <w:rPr>
                <w:rFonts w:ascii="Arial" w:hAnsi="Arial" w:cs="Arial"/>
              </w:rPr>
              <w:t>Por su nivel de coordinación</w:t>
            </w:r>
          </w:p>
        </w:tc>
        <w:tc>
          <w:tcPr>
            <w:tcW w:w="4020" w:type="dxa"/>
            <w:hideMark/>
          </w:tcPr>
          <w:p w:rsidR="00873373" w:rsidRPr="005C6FBD" w:rsidRDefault="00873373" w:rsidP="005C6FBD">
            <w:pPr>
              <w:spacing w:line="360" w:lineRule="auto"/>
              <w:jc w:val="both"/>
              <w:cnfStyle w:val="000000010000"/>
              <w:rPr>
                <w:rFonts w:ascii="Arial" w:hAnsi="Arial" w:cs="Arial"/>
              </w:rPr>
            </w:pPr>
            <w:r w:rsidRPr="005C6FBD">
              <w:rPr>
                <w:rFonts w:ascii="Arial" w:hAnsi="Arial" w:cs="Arial"/>
              </w:rPr>
              <w:t>Políticas sectoriales</w:t>
            </w:r>
          </w:p>
        </w:tc>
      </w:tr>
      <w:tr w:rsidR="00873373" w:rsidRPr="005C6FBD" w:rsidTr="00484AC4">
        <w:trPr>
          <w:cnfStyle w:val="00000010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4020" w:type="dxa"/>
            <w:hideMark/>
          </w:tcPr>
          <w:p w:rsidR="00873373" w:rsidRPr="005C6FBD" w:rsidRDefault="00873373" w:rsidP="005C6FBD">
            <w:pPr>
              <w:spacing w:line="360" w:lineRule="auto"/>
              <w:jc w:val="both"/>
              <w:cnfStyle w:val="000000100000"/>
              <w:rPr>
                <w:rFonts w:ascii="Arial" w:hAnsi="Arial" w:cs="Arial"/>
              </w:rPr>
            </w:pPr>
            <w:r w:rsidRPr="005C6FBD">
              <w:rPr>
                <w:rFonts w:ascii="Arial" w:hAnsi="Arial" w:cs="Arial"/>
              </w:rPr>
              <w:t>Políticas multisectoriales</w:t>
            </w:r>
          </w:p>
        </w:tc>
      </w:tr>
      <w:tr w:rsidR="00873373" w:rsidRPr="005C6FBD" w:rsidTr="00484AC4">
        <w:trPr>
          <w:cnfStyle w:val="00000001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4020" w:type="dxa"/>
            <w:hideMark/>
          </w:tcPr>
          <w:p w:rsidR="00873373" w:rsidRPr="005C6FBD" w:rsidRDefault="00873373" w:rsidP="005C6FBD">
            <w:pPr>
              <w:spacing w:line="360" w:lineRule="auto"/>
              <w:jc w:val="both"/>
              <w:cnfStyle w:val="000000010000"/>
              <w:rPr>
                <w:rFonts w:ascii="Arial" w:hAnsi="Arial" w:cs="Arial"/>
              </w:rPr>
            </w:pPr>
            <w:r w:rsidRPr="005C6FBD">
              <w:rPr>
                <w:rFonts w:ascii="Arial" w:hAnsi="Arial" w:cs="Arial"/>
              </w:rPr>
              <w:t>Políticas transectoriales</w:t>
            </w:r>
          </w:p>
        </w:tc>
      </w:tr>
      <w:tr w:rsidR="00873373" w:rsidRPr="005C6FBD" w:rsidTr="00484AC4">
        <w:trPr>
          <w:cnfStyle w:val="000000100000"/>
        </w:trPr>
        <w:tc>
          <w:tcPr>
            <w:cnfStyle w:val="001000000000"/>
            <w:tcW w:w="3855" w:type="dxa"/>
            <w:vMerge w:val="restart"/>
            <w:hideMark/>
          </w:tcPr>
          <w:p w:rsidR="00873373" w:rsidRPr="005C6FBD" w:rsidRDefault="00873373" w:rsidP="005C6FBD">
            <w:pPr>
              <w:spacing w:line="360" w:lineRule="auto"/>
              <w:jc w:val="both"/>
              <w:rPr>
                <w:rFonts w:ascii="Arial" w:hAnsi="Arial" w:cs="Arial"/>
              </w:rPr>
            </w:pPr>
            <w:r w:rsidRPr="005C6FBD">
              <w:rPr>
                <w:rFonts w:ascii="Arial" w:hAnsi="Arial" w:cs="Arial"/>
              </w:rPr>
              <w:t>Por el nivel de gobierno</w:t>
            </w:r>
          </w:p>
        </w:tc>
        <w:tc>
          <w:tcPr>
            <w:tcW w:w="4020" w:type="dxa"/>
            <w:hideMark/>
          </w:tcPr>
          <w:p w:rsidR="00873373" w:rsidRPr="005C6FBD" w:rsidRDefault="00873373" w:rsidP="005C6FBD">
            <w:pPr>
              <w:spacing w:line="360" w:lineRule="auto"/>
              <w:jc w:val="both"/>
              <w:cnfStyle w:val="000000100000"/>
              <w:rPr>
                <w:rFonts w:ascii="Arial" w:hAnsi="Arial" w:cs="Arial"/>
              </w:rPr>
            </w:pPr>
            <w:r w:rsidRPr="005C6FBD">
              <w:rPr>
                <w:rFonts w:ascii="Arial" w:hAnsi="Arial" w:cs="Arial"/>
              </w:rPr>
              <w:t>Políticas nacionales</w:t>
            </w:r>
          </w:p>
        </w:tc>
      </w:tr>
      <w:tr w:rsidR="00873373" w:rsidRPr="005C6FBD" w:rsidTr="00484AC4">
        <w:trPr>
          <w:cnfStyle w:val="00000001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4020" w:type="dxa"/>
            <w:hideMark/>
          </w:tcPr>
          <w:p w:rsidR="00873373" w:rsidRPr="005C6FBD" w:rsidRDefault="00873373" w:rsidP="005C6FBD">
            <w:pPr>
              <w:spacing w:line="360" w:lineRule="auto"/>
              <w:jc w:val="both"/>
              <w:cnfStyle w:val="000000010000"/>
              <w:rPr>
                <w:rFonts w:ascii="Arial" w:hAnsi="Arial" w:cs="Arial"/>
              </w:rPr>
            </w:pPr>
            <w:r w:rsidRPr="005C6FBD">
              <w:rPr>
                <w:rFonts w:ascii="Arial" w:hAnsi="Arial" w:cs="Arial"/>
              </w:rPr>
              <w:t>Políticas regionales</w:t>
            </w:r>
          </w:p>
        </w:tc>
      </w:tr>
      <w:tr w:rsidR="00873373" w:rsidRPr="005C6FBD" w:rsidTr="00484AC4">
        <w:trPr>
          <w:cnfStyle w:val="000000100000"/>
        </w:trPr>
        <w:tc>
          <w:tcPr>
            <w:cnfStyle w:val="001000000000"/>
            <w:tcW w:w="0" w:type="auto"/>
            <w:vMerge/>
            <w:hideMark/>
          </w:tcPr>
          <w:p w:rsidR="00873373" w:rsidRPr="005C6FBD" w:rsidRDefault="00873373" w:rsidP="005C6FBD">
            <w:pPr>
              <w:spacing w:line="360" w:lineRule="auto"/>
              <w:jc w:val="both"/>
              <w:rPr>
                <w:rFonts w:ascii="Arial" w:hAnsi="Arial" w:cs="Arial"/>
              </w:rPr>
            </w:pPr>
          </w:p>
        </w:tc>
        <w:tc>
          <w:tcPr>
            <w:tcW w:w="4020" w:type="dxa"/>
            <w:hideMark/>
          </w:tcPr>
          <w:p w:rsidR="00873373" w:rsidRPr="005C6FBD" w:rsidRDefault="00873373" w:rsidP="005C6FBD">
            <w:pPr>
              <w:spacing w:line="360" w:lineRule="auto"/>
              <w:jc w:val="both"/>
              <w:cnfStyle w:val="000000100000"/>
              <w:rPr>
                <w:rFonts w:ascii="Arial" w:hAnsi="Arial" w:cs="Arial"/>
              </w:rPr>
            </w:pPr>
            <w:r w:rsidRPr="005C6FBD">
              <w:rPr>
                <w:rFonts w:ascii="Arial" w:hAnsi="Arial" w:cs="Arial"/>
              </w:rPr>
              <w:t>Políticas locales</w:t>
            </w:r>
          </w:p>
        </w:tc>
      </w:tr>
    </w:tbl>
    <w:p w:rsidR="00873373" w:rsidRPr="005C6FBD" w:rsidRDefault="00873373" w:rsidP="005C6FBD">
      <w:pPr>
        <w:spacing w:line="360" w:lineRule="auto"/>
        <w:jc w:val="both"/>
        <w:rPr>
          <w:rFonts w:ascii="Arial" w:hAnsi="Arial" w:cs="Arial"/>
        </w:rPr>
      </w:pPr>
      <w:r w:rsidRPr="005C6FBD">
        <w:rPr>
          <w:rFonts w:ascii="Arial" w:hAnsi="Arial" w:cs="Arial"/>
        </w:rPr>
        <w:t> </w:t>
      </w:r>
    </w:p>
    <w:p w:rsidR="00873373" w:rsidRPr="005C6FBD" w:rsidRDefault="00873373" w:rsidP="005C6FBD">
      <w:pPr>
        <w:spacing w:line="360" w:lineRule="auto"/>
        <w:jc w:val="both"/>
        <w:rPr>
          <w:rFonts w:ascii="Arial" w:hAnsi="Arial" w:cs="Arial"/>
        </w:rPr>
      </w:pPr>
      <w:r w:rsidRPr="00484AC4">
        <w:rPr>
          <w:rFonts w:ascii="Arial" w:hAnsi="Arial" w:cs="Arial"/>
          <w:b/>
        </w:rPr>
        <w:t>Políticas de Estado</w:t>
      </w:r>
      <w:r w:rsidRPr="005C6FBD">
        <w:rPr>
          <w:rFonts w:ascii="Arial" w:hAnsi="Arial" w:cs="Arial"/>
        </w:rPr>
        <w:t> son aquellas que guiarán la labor del Estado más allá del gobierno de turno.</w:t>
      </w:r>
    </w:p>
    <w:p w:rsidR="00873373" w:rsidRPr="005C6FBD" w:rsidRDefault="00873373" w:rsidP="005C6FBD">
      <w:pPr>
        <w:spacing w:line="360" w:lineRule="auto"/>
        <w:jc w:val="both"/>
        <w:rPr>
          <w:rFonts w:ascii="Arial" w:hAnsi="Arial" w:cs="Arial"/>
        </w:rPr>
      </w:pPr>
      <w:r w:rsidRPr="00484AC4">
        <w:rPr>
          <w:rFonts w:ascii="Arial" w:hAnsi="Arial" w:cs="Arial"/>
          <w:b/>
        </w:rPr>
        <w:t>Políticas de Gobierno</w:t>
      </w:r>
      <w:r w:rsidRPr="005C6FBD">
        <w:rPr>
          <w:rFonts w:ascii="Arial" w:hAnsi="Arial" w:cs="Arial"/>
        </w:rPr>
        <w:t>, en cambio, son aquellas que obedecen a un plan de gobierno y a la ideología del partido de gobierno y, por tanto, suelen estar circunscritas al periodo de mandato. Así, por ejemplo, para un Gobierno, el aumento de la recaudación puede convertirse en una política pública, mientras que, para otro, esta debe ser controlada o reducida. Ello dependerá del tipo de gobierno que llegue al poder.</w:t>
      </w:r>
    </w:p>
    <w:p w:rsidR="00873373" w:rsidRPr="005C6FBD" w:rsidRDefault="00873373" w:rsidP="005C6FBD">
      <w:pPr>
        <w:spacing w:line="360" w:lineRule="auto"/>
        <w:jc w:val="both"/>
        <w:rPr>
          <w:rFonts w:ascii="Arial" w:hAnsi="Arial" w:cs="Arial"/>
        </w:rPr>
      </w:pPr>
      <w:r w:rsidRPr="00484AC4">
        <w:rPr>
          <w:rFonts w:ascii="Arial" w:hAnsi="Arial" w:cs="Arial"/>
          <w:b/>
        </w:rPr>
        <w:t> Políticas sectoriales</w:t>
      </w:r>
      <w:r w:rsidRPr="005C6FBD">
        <w:rPr>
          <w:rFonts w:ascii="Arial" w:hAnsi="Arial" w:cs="Arial"/>
        </w:rPr>
        <w:t xml:space="preserve"> son las que se atribuyen específicamente a una cartera y afectan a su ámbito particular. </w:t>
      </w:r>
    </w:p>
    <w:p w:rsidR="00873373" w:rsidRPr="005C6FBD" w:rsidRDefault="00873373" w:rsidP="005C6FBD">
      <w:pPr>
        <w:spacing w:line="360" w:lineRule="auto"/>
        <w:jc w:val="both"/>
        <w:rPr>
          <w:rFonts w:ascii="Arial" w:hAnsi="Arial" w:cs="Arial"/>
        </w:rPr>
      </w:pPr>
      <w:r w:rsidRPr="005C6FBD">
        <w:rPr>
          <w:rFonts w:ascii="Arial" w:hAnsi="Arial" w:cs="Arial"/>
        </w:rPr>
        <w:t> </w:t>
      </w:r>
      <w:r w:rsidRPr="00484AC4">
        <w:rPr>
          <w:rFonts w:ascii="Arial" w:hAnsi="Arial" w:cs="Arial"/>
          <w:b/>
        </w:rPr>
        <w:t>Políticas multisectoriales</w:t>
      </w:r>
      <w:r w:rsidRPr="005C6FBD">
        <w:rPr>
          <w:rFonts w:ascii="Arial" w:hAnsi="Arial" w:cs="Arial"/>
        </w:rPr>
        <w:t> son aquellas que son influidas por varios sectores, cada uno en su ámbito de aplicación. Así, por ejemplo, la seguridad nacional está confiada a un sector (Defensa), mientras que las políticas de seguridad en el transporte interprovincial están coordinadas por Interior y Transporte.</w:t>
      </w:r>
    </w:p>
    <w:p w:rsidR="00873373" w:rsidRPr="005C6FBD" w:rsidRDefault="00873373" w:rsidP="005C6FBD">
      <w:pPr>
        <w:spacing w:line="360" w:lineRule="auto"/>
        <w:jc w:val="both"/>
        <w:rPr>
          <w:rFonts w:ascii="Arial" w:hAnsi="Arial" w:cs="Arial"/>
        </w:rPr>
      </w:pPr>
      <w:r w:rsidRPr="005C6FBD">
        <w:rPr>
          <w:rFonts w:ascii="Arial" w:hAnsi="Arial" w:cs="Arial"/>
        </w:rPr>
        <w:t> </w:t>
      </w:r>
      <w:r w:rsidRPr="00484AC4">
        <w:rPr>
          <w:rFonts w:ascii="Arial" w:hAnsi="Arial" w:cs="Arial"/>
          <w:b/>
        </w:rPr>
        <w:t>Políticas transectoriales</w:t>
      </w:r>
      <w:r w:rsidRPr="005C6FBD">
        <w:rPr>
          <w:rFonts w:ascii="Arial" w:hAnsi="Arial" w:cs="Arial"/>
        </w:rPr>
        <w:t> cuando se encuentran transversalmente en los diferentes sectores del gobierno, como es el caso de la política ambiental o de la política de equidad de género.</w:t>
      </w:r>
    </w:p>
    <w:p w:rsidR="00484AC4" w:rsidRDefault="00873373" w:rsidP="00484AC4">
      <w:pPr>
        <w:tabs>
          <w:tab w:val="left" w:pos="1114"/>
        </w:tabs>
        <w:spacing w:line="360" w:lineRule="auto"/>
        <w:jc w:val="both"/>
        <w:rPr>
          <w:rFonts w:ascii="Arial" w:hAnsi="Arial" w:cs="Arial"/>
        </w:rPr>
      </w:pPr>
      <w:r w:rsidRPr="005C6FBD">
        <w:rPr>
          <w:rFonts w:ascii="Arial" w:hAnsi="Arial" w:cs="Arial"/>
        </w:rPr>
        <w:t> </w:t>
      </w:r>
      <w:r w:rsidRPr="00484AC4">
        <w:rPr>
          <w:rFonts w:ascii="Arial" w:hAnsi="Arial" w:cs="Arial"/>
          <w:b/>
        </w:rPr>
        <w:t>Políticas nacionales</w:t>
      </w:r>
      <w:r w:rsidRPr="005C6FBD">
        <w:rPr>
          <w:rFonts w:ascii="Arial" w:hAnsi="Arial" w:cs="Arial"/>
        </w:rPr>
        <w:t> son las que tienen eficacia a nivel nacional, como las políticas de Defensa e Interior</w:t>
      </w:r>
    </w:p>
    <w:p w:rsidR="00873373" w:rsidRPr="005C6FBD" w:rsidRDefault="00873373" w:rsidP="00484AC4">
      <w:pPr>
        <w:tabs>
          <w:tab w:val="left" w:pos="1114"/>
        </w:tabs>
        <w:spacing w:line="360" w:lineRule="auto"/>
        <w:jc w:val="both"/>
        <w:rPr>
          <w:rFonts w:ascii="Arial" w:hAnsi="Arial" w:cs="Arial"/>
        </w:rPr>
      </w:pPr>
      <w:r w:rsidRPr="00484AC4">
        <w:rPr>
          <w:rFonts w:ascii="Arial" w:hAnsi="Arial" w:cs="Arial"/>
          <w:b/>
        </w:rPr>
        <w:lastRenderedPageBreak/>
        <w:t>Políticas regionales</w:t>
      </w:r>
      <w:r w:rsidRPr="005C6FBD">
        <w:rPr>
          <w:rFonts w:ascii="Arial" w:hAnsi="Arial" w:cs="Arial"/>
        </w:rPr>
        <w:t> se aplican al espacio de la jurisdicción, tales como las políticas de la minería artesanal.</w:t>
      </w:r>
    </w:p>
    <w:p w:rsidR="00873373" w:rsidRPr="005C6FBD" w:rsidRDefault="00873373" w:rsidP="00484AC4">
      <w:pPr>
        <w:tabs>
          <w:tab w:val="left" w:pos="2269"/>
        </w:tabs>
        <w:spacing w:line="360" w:lineRule="auto"/>
        <w:jc w:val="both"/>
        <w:rPr>
          <w:rFonts w:ascii="Arial" w:hAnsi="Arial" w:cs="Arial"/>
        </w:rPr>
      </w:pPr>
      <w:r w:rsidRPr="005C6FBD">
        <w:rPr>
          <w:rFonts w:ascii="Arial" w:hAnsi="Arial" w:cs="Arial"/>
        </w:rPr>
        <w:t> </w:t>
      </w:r>
      <w:r w:rsidRPr="00484AC4">
        <w:rPr>
          <w:rFonts w:ascii="Arial" w:hAnsi="Arial" w:cs="Arial"/>
          <w:b/>
        </w:rPr>
        <w:t>Políticas</w:t>
      </w:r>
      <w:r w:rsidRPr="005C6FBD">
        <w:rPr>
          <w:rFonts w:ascii="Arial" w:hAnsi="Arial" w:cs="Arial"/>
        </w:rPr>
        <w:t xml:space="preserve"> </w:t>
      </w:r>
      <w:r w:rsidRPr="00484AC4">
        <w:rPr>
          <w:rFonts w:ascii="Arial" w:hAnsi="Arial" w:cs="Arial"/>
          <w:b/>
        </w:rPr>
        <w:t>locales</w:t>
      </w:r>
      <w:r w:rsidRPr="005C6FBD">
        <w:rPr>
          <w:rFonts w:ascii="Arial" w:hAnsi="Arial" w:cs="Arial"/>
        </w:rPr>
        <w:t> son las que corresponden a las municipalidades, como es el caso de las políticas de gestión de residuos sólidos.</w:t>
      </w:r>
      <w:r w:rsidR="000938BB">
        <w:rPr>
          <w:rFonts w:ascii="Arial" w:hAnsi="Arial" w:cs="Arial"/>
        </w:rPr>
        <w:t xml:space="preserve"> </w:t>
      </w:r>
      <w:hyperlink r:id="rId10" w:anchor="_ftnref4" w:history="1">
        <w:r w:rsidR="00162737">
          <w:rPr>
            <w:rStyle w:val="Hipervnculo"/>
            <w:rFonts w:ascii="Arial" w:hAnsi="Arial" w:cs="Arial"/>
          </w:rPr>
          <w:t>[3</w:t>
        </w:r>
        <w:r w:rsidR="000938BB" w:rsidRPr="005C6FBD">
          <w:rPr>
            <w:rStyle w:val="Hipervnculo"/>
            <w:rFonts w:ascii="Arial" w:hAnsi="Arial" w:cs="Arial"/>
          </w:rPr>
          <w:t>]</w:t>
        </w:r>
      </w:hyperlink>
      <w:r w:rsidR="000938BB" w:rsidRPr="005C6FBD">
        <w:rPr>
          <w:rFonts w:ascii="Arial" w:hAnsi="Arial" w:cs="Arial"/>
        </w:rPr>
        <w:t> </w:t>
      </w:r>
    </w:p>
    <w:p w:rsidR="00873373" w:rsidRPr="005C6FBD" w:rsidRDefault="006A37B9" w:rsidP="005C6FBD">
      <w:pPr>
        <w:spacing w:line="360" w:lineRule="auto"/>
        <w:jc w:val="both"/>
        <w:rPr>
          <w:rFonts w:ascii="Arial" w:hAnsi="Arial" w:cs="Arial"/>
        </w:rPr>
      </w:pPr>
      <w:r w:rsidRPr="006A37B9">
        <w:rPr>
          <w:rFonts w:ascii="Arial" w:hAnsi="Arial" w:cs="Arial"/>
        </w:rPr>
        <w:pict>
          <v:rect id="_x0000_i1025" style="width:155.15pt;height:.75pt" o:hrpct="330" o:hrstd="t" o:hr="t" fillcolor="#a0a0a0" stroked="f"/>
        </w:pict>
      </w:r>
    </w:p>
    <w:p w:rsidR="00873373" w:rsidRPr="00424F7C" w:rsidRDefault="006A37B9" w:rsidP="005C6FBD">
      <w:pPr>
        <w:spacing w:line="360" w:lineRule="auto"/>
        <w:jc w:val="both"/>
        <w:rPr>
          <w:rFonts w:ascii="Arial" w:hAnsi="Arial" w:cs="Arial"/>
          <w:lang w:val="en-US"/>
        </w:rPr>
      </w:pPr>
      <w:hyperlink r:id="rId11" w:anchor="_ftnref1" w:history="1">
        <w:r w:rsidR="00873373" w:rsidRPr="00424F7C">
          <w:rPr>
            <w:rStyle w:val="Hipervnculo"/>
            <w:rFonts w:ascii="Arial" w:hAnsi="Arial" w:cs="Arial"/>
            <w:lang w:val="en-US"/>
          </w:rPr>
          <w:t>[1]</w:t>
        </w:r>
      </w:hyperlink>
      <w:r w:rsidR="00873373" w:rsidRPr="00424F7C">
        <w:rPr>
          <w:rFonts w:ascii="Arial" w:hAnsi="Arial" w:cs="Arial"/>
          <w:lang w:val="en-US"/>
        </w:rPr>
        <w:t> Cfr. LOWI, Theodore. American Business, Public Policy, Case-Studies, and Political Theory. World Politics. USA, 1964, 16(4), pp. 677-715.</w:t>
      </w:r>
    </w:p>
    <w:p w:rsidR="00162737" w:rsidRPr="00424F7C" w:rsidRDefault="006A37B9" w:rsidP="00162737">
      <w:pPr>
        <w:spacing w:line="360" w:lineRule="auto"/>
        <w:jc w:val="both"/>
        <w:rPr>
          <w:rFonts w:ascii="Arial" w:hAnsi="Arial" w:cs="Arial"/>
        </w:rPr>
      </w:pPr>
      <w:hyperlink r:id="rId12" w:anchor="_ftnref3" w:history="1">
        <w:r w:rsidR="00162737">
          <w:rPr>
            <w:rStyle w:val="Hipervnculo"/>
            <w:rFonts w:ascii="Arial" w:hAnsi="Arial" w:cs="Arial"/>
            <w:lang w:val="en-US"/>
          </w:rPr>
          <w:t>[2</w:t>
        </w:r>
        <w:r w:rsidR="00162737" w:rsidRPr="00162737">
          <w:rPr>
            <w:rStyle w:val="Hipervnculo"/>
            <w:rFonts w:ascii="Arial" w:hAnsi="Arial" w:cs="Arial"/>
            <w:lang w:val="en-US"/>
          </w:rPr>
          <w:t>]</w:t>
        </w:r>
      </w:hyperlink>
      <w:r w:rsidR="00162737" w:rsidRPr="00162737">
        <w:rPr>
          <w:rFonts w:ascii="Arial" w:hAnsi="Arial" w:cs="Arial"/>
          <w:lang w:val="en-US"/>
        </w:rPr>
        <w:t xml:space="preserve"> </w:t>
      </w:r>
      <w:r w:rsidR="00162737">
        <w:rPr>
          <w:rFonts w:ascii="Arial" w:hAnsi="Arial" w:cs="Arial"/>
          <w:lang w:val="en-US"/>
        </w:rPr>
        <w:t xml:space="preserve"> </w:t>
      </w:r>
      <w:r w:rsidR="00162737" w:rsidRPr="00162737">
        <w:rPr>
          <w:rFonts w:ascii="Arial" w:hAnsi="Arial" w:cs="Arial"/>
          <w:lang w:val="en-US"/>
        </w:rPr>
        <w:t>L</w:t>
      </w:r>
      <w:r w:rsidR="00162737">
        <w:rPr>
          <w:rFonts w:ascii="Arial" w:hAnsi="Arial" w:cs="Arial"/>
          <w:lang w:val="en-US"/>
        </w:rPr>
        <w:t>asswell</w:t>
      </w:r>
      <w:r w:rsidR="00162737" w:rsidRPr="00162737">
        <w:rPr>
          <w:rFonts w:ascii="Arial" w:hAnsi="Arial" w:cs="Arial"/>
          <w:lang w:val="en-US"/>
        </w:rPr>
        <w:t>,</w:t>
      </w:r>
      <w:r w:rsidR="00162737">
        <w:rPr>
          <w:rFonts w:ascii="Arial" w:hAnsi="Arial" w:cs="Arial"/>
          <w:lang w:val="en-US"/>
        </w:rPr>
        <w:t xml:space="preserve"> H</w:t>
      </w:r>
      <w:r w:rsidR="00162737" w:rsidRPr="00162737">
        <w:rPr>
          <w:rFonts w:ascii="Arial" w:hAnsi="Arial" w:cs="Arial"/>
          <w:lang w:val="en-US"/>
        </w:rPr>
        <w:t>. Public Policy, Case-Studies, and Political Theory. </w:t>
      </w:r>
      <w:r w:rsidR="00162737" w:rsidRPr="00424F7C">
        <w:rPr>
          <w:rFonts w:ascii="Arial" w:hAnsi="Arial" w:cs="Arial"/>
        </w:rPr>
        <w:t>World Politics. USA, (1950)</w:t>
      </w:r>
    </w:p>
    <w:p w:rsidR="00873373" w:rsidRPr="005C6FBD" w:rsidRDefault="006A37B9" w:rsidP="005C6FBD">
      <w:pPr>
        <w:spacing w:line="360" w:lineRule="auto"/>
        <w:jc w:val="both"/>
        <w:rPr>
          <w:rFonts w:ascii="Arial" w:hAnsi="Arial" w:cs="Arial"/>
        </w:rPr>
      </w:pPr>
      <w:hyperlink r:id="rId13" w:anchor="_ftnref3" w:history="1">
        <w:r w:rsidR="00873373" w:rsidRPr="005C6FBD">
          <w:rPr>
            <w:rStyle w:val="Hipervnculo"/>
            <w:rFonts w:ascii="Arial" w:hAnsi="Arial" w:cs="Arial"/>
          </w:rPr>
          <w:t>[3]</w:t>
        </w:r>
      </w:hyperlink>
      <w:r w:rsidR="00873373" w:rsidRPr="005C6FBD">
        <w:rPr>
          <w:rFonts w:ascii="Arial" w:hAnsi="Arial" w:cs="Arial"/>
        </w:rPr>
        <w:t> PARODI, Carlos. Perú 1960-2000. Políticas económicas y sociales en entornos cambiantes. Centro de Investigaciones dela Universidad del Pacífico, Lima, 2003, p. 24.</w:t>
      </w:r>
    </w:p>
    <w:p w:rsidR="00873373" w:rsidRPr="005C6FBD" w:rsidRDefault="00873373" w:rsidP="005C6FBD">
      <w:pPr>
        <w:jc w:val="both"/>
      </w:pPr>
    </w:p>
    <w:sectPr w:rsidR="00873373" w:rsidRPr="005C6FBD" w:rsidSect="00A14A0C">
      <w:headerReference w:type="default" r:id="rId14"/>
      <w:footerReference w:type="default" r:id="rId15"/>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17E" w:rsidRDefault="003E017E" w:rsidP="00CA1B21">
      <w:pPr>
        <w:spacing w:after="0" w:line="240" w:lineRule="auto"/>
      </w:pPr>
      <w:r>
        <w:separator/>
      </w:r>
    </w:p>
  </w:endnote>
  <w:endnote w:type="continuationSeparator" w:id="1">
    <w:p w:rsidR="003E017E" w:rsidRDefault="003E017E" w:rsidP="00CA1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GungsuhChe">
    <w:altName w:val="Arial Unicode MS"/>
    <w:panose1 w:val="02030609000101010101"/>
    <w:charset w:val="81"/>
    <w:family w:val="modern"/>
    <w:pitch w:val="fixed"/>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Pr="000050AA" w:rsidRDefault="006A37B9" w:rsidP="000050AA">
    <w:pPr>
      <w:spacing w:line="360" w:lineRule="auto"/>
      <w:rPr>
        <w:rFonts w:ascii="Arial" w:hAnsi="Arial" w:cs="Arial"/>
        <w:b/>
      </w:rPr>
    </w:pPr>
    <w:r w:rsidRPr="006A37B9">
      <w:rPr>
        <w:noProof/>
      </w:rPr>
      <w:pict>
        <v:shapetype id="_x0000_t202" coordsize="21600,21600" o:spt="202" path="m,l,21600r21600,l21600,xe">
          <v:stroke joinstyle="miter"/>
          <v:path gradientshapeok="t" o:connecttype="rect"/>
        </v:shapetype>
        <v:shape id="Cuadro de texto 8" o:spid="_x0000_s4098" type="#_x0000_t202" style="position:absolute;margin-left:-59.65pt;margin-top:32.85pt;width:579.75pt;height:24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" fillcolor="white [3201]" stroked="f" strokeweight=".5pt">
          <v:path arrowok="t"/>
          <v:textbox>
            <w:txbxContent>
              <w:p w:rsidR="00D66544" w:rsidRPr="00DD6DBD" w:rsidRDefault="00D66544" w:rsidP="00AA1859">
                <w:pPr>
                  <w:pStyle w:val="NormalWeb"/>
                  <w:shd w:val="clear" w:color="auto" w:fill="000000"/>
                  <w:jc w:val="center"/>
                  <w:rPr>
                    <w:rFonts w:ascii="Monotype Corsiva" w:hAnsi="Monotype Corsiva"/>
                    <w:b/>
                    <w:color w:val="B0B0B0"/>
                    <w:sz w:val="32"/>
                    <w:szCs w:val="40"/>
                    <w:lang w:val="es-ES"/>
                  </w:rPr>
                </w:pPr>
                <w:r w:rsidRPr="00AA1859">
                  <w:rPr>
                    <w:rFonts w:ascii="Monotype Corsiva" w:hAnsi="Monotype Corsiva" w:cs="Arial"/>
                    <w:b/>
                    <w:sz w:val="32"/>
                    <w:szCs w:val="40"/>
                  </w:rPr>
                  <w:t>“</w:t>
                </w:r>
                <w:r w:rsidRPr="00AA1859">
                  <w:rPr>
                    <w:rStyle w:val="nfasis"/>
                    <w:rFonts w:ascii="Monotype Corsiva" w:hAnsi="Monotype Corsiva"/>
                    <w:b/>
                    <w:color w:val="B0B0B0"/>
                    <w:sz w:val="32"/>
                    <w:szCs w:val="40"/>
                  </w:rPr>
                  <w:t>“</w:t>
                </w:r>
                <w:r w:rsidR="00C576DD">
                  <w:rPr>
                    <w:rStyle w:val="nfasis"/>
                    <w:rFonts w:ascii="Monotype Corsiva" w:hAnsi="Monotype Corsiva"/>
                    <w:b/>
                    <w:color w:val="B0B0B0"/>
                    <w:sz w:val="32"/>
                    <w:szCs w:val="40"/>
                  </w:rPr>
                  <w:t>Ante el inminente peligro, la fortaleza es l</w:t>
                </w:r>
                <w:r w:rsidR="009F0AE4">
                  <w:rPr>
                    <w:rStyle w:val="nfasis"/>
                    <w:rFonts w:ascii="Monotype Corsiva" w:hAnsi="Monotype Corsiva"/>
                    <w:b/>
                    <w:color w:val="B0B0B0"/>
                    <w:sz w:val="32"/>
                    <w:szCs w:val="40"/>
                  </w:rPr>
                  <w:t>o</w:t>
                </w:r>
                <w:r w:rsidR="00C576DD">
                  <w:rPr>
                    <w:rStyle w:val="nfasis"/>
                    <w:rFonts w:ascii="Monotype Corsiva" w:hAnsi="Monotype Corsiva"/>
                    <w:b/>
                    <w:color w:val="B0B0B0"/>
                    <w:sz w:val="32"/>
                    <w:szCs w:val="40"/>
                  </w:rPr>
                  <w:t xml:space="preserve"> que cuenta </w:t>
                </w:r>
                <w:r w:rsidRPr="00DD6DBD">
                  <w:rPr>
                    <w:rStyle w:val="nfasis"/>
                    <w:rFonts w:ascii="Monotype Corsiva" w:hAnsi="Monotype Corsiva"/>
                    <w:b/>
                    <w:color w:val="B0B0B0"/>
                    <w:sz w:val="32"/>
                    <w:szCs w:val="40"/>
                    <w:lang w:val="es-ES"/>
                  </w:rPr>
                  <w:t>”.</w:t>
                </w:r>
              </w:p>
              <w:p w:rsidR="00D66544" w:rsidRPr="000050AA" w:rsidRDefault="0096797D" w:rsidP="003B1032">
                <w:pPr>
                  <w:spacing w:line="480" w:lineRule="auto"/>
                  <w:jc w:val="center"/>
                  <w:rPr>
                    <w:rFonts w:ascii="Monotype Corsiva" w:hAnsi="Monotype Corsiva"/>
                    <w:sz w:val="32"/>
                  </w:rPr>
                </w:pPr>
                <w:r>
                  <w:rPr>
                    <w:rFonts w:ascii="Monotype Corsiva" w:hAnsi="Monotype Corsiva" w:cs="Arial"/>
                    <w:b/>
                    <w:sz w:val="32"/>
                  </w:rPr>
                  <w:t xml:space="preserve">JoseCarol </w:t>
                </w:r>
                <w:r w:rsidR="00D66544" w:rsidRPr="000050AA">
                  <w:rPr>
                    <w:rFonts w:ascii="Monotype Corsiva" w:hAnsi="Monotype Corsiva" w:cs="Arial"/>
                    <w:b/>
                    <w:sz w:val="32"/>
                  </w:rPr>
                  <w:t>”</w:t>
                </w:r>
              </w:p>
            </w:txbxContent>
          </v:textbox>
        </v:shape>
      </w:pict>
    </w:r>
    <w:r w:rsidRPr="006A37B9">
      <w:rPr>
        <w:noProof/>
      </w:rPr>
      <w:pict>
        <v:rect id="Rectángulo 7" o:spid="_x0000_s4097" style="position:absolute;margin-left:-70.15pt;margin-top:13.35pt;width:609pt;height:63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w:r>
  </w:p>
  <w:p w:rsidR="00D66544" w:rsidRDefault="00D665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17E" w:rsidRDefault="003E017E" w:rsidP="00CA1B21">
      <w:pPr>
        <w:spacing w:after="0" w:line="240" w:lineRule="auto"/>
      </w:pPr>
      <w:r>
        <w:separator/>
      </w:r>
    </w:p>
  </w:footnote>
  <w:footnote w:type="continuationSeparator" w:id="1">
    <w:p w:rsidR="003E017E" w:rsidRDefault="003E017E" w:rsidP="00CA1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Default="00DD6DBD" w:rsidP="00CA1B21">
    <w:pPr>
      <w:pStyle w:val="Encabezado"/>
    </w:pPr>
    <w:r>
      <w:rPr>
        <w:noProof/>
      </w:rPr>
      <w:drawing>
        <wp:anchor distT="0" distB="0" distL="114300" distR="114300" simplePos="0" relativeHeight="251655168" behindDoc="1" locked="0" layoutInCell="1" allowOverlap="1">
          <wp:simplePos x="0" y="0"/>
          <wp:positionH relativeFrom="column">
            <wp:posOffset>-557530</wp:posOffset>
          </wp:positionH>
          <wp:positionV relativeFrom="paragraph">
            <wp:posOffset>-154940</wp:posOffset>
          </wp:positionV>
          <wp:extent cx="1990725" cy="819150"/>
          <wp:effectExtent l="19050" t="0" r="0" b="0"/>
          <wp:wrapTight wrapText="bothSides">
            <wp:wrapPolygon edited="0">
              <wp:start x="19843" y="0"/>
              <wp:lineTo x="3100" y="3014"/>
              <wp:lineTo x="-207" y="4019"/>
              <wp:lineTo x="-207" y="17079"/>
              <wp:lineTo x="16743" y="21098"/>
              <wp:lineTo x="19843" y="21098"/>
              <wp:lineTo x="21290" y="21098"/>
              <wp:lineTo x="21290" y="0"/>
              <wp:lineTo x="19843"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3839"/>
                  <a:stretch>
                    <a:fillRect/>
                  </a:stretch>
                </pic:blipFill>
                <pic:spPr bwMode="auto">
                  <a:xfrm>
                    <a:off x="0" y="0"/>
                    <a:ext cx="1990725" cy="819150"/>
                  </a:xfrm>
                  <a:prstGeom prst="rect">
                    <a:avLst/>
                  </a:prstGeom>
                  <a:noFill/>
                  <a:ln>
                    <a:noFill/>
                  </a:ln>
                </pic:spPr>
              </pic:pic>
            </a:graphicData>
          </a:graphic>
        </wp:anchor>
      </w:drawing>
    </w:r>
    <w:r w:rsidR="006A37B9">
      <w:rPr>
        <w:noProof/>
      </w:rPr>
      <w:pict>
        <v:shapetype id="_x0000_t202" coordsize="21600,21600" o:spt="202" path="m,l,21600r21600,l21600,xe">
          <v:stroke joinstyle="miter"/>
          <v:path gradientshapeok="t" o:connecttype="rect"/>
        </v:shapetype>
        <v:shape id="11 Cuadro de texto" o:spid="_x0000_s4101" type="#_x0000_t202" style="position:absolute;margin-left:146.4pt;margin-top:-18pt;width:374.05pt;height:64.5pt;z-index:251656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" fillcolor="#00b050" stroked="f" strokeweight=".5pt">
          <v:path arrowok="t"/>
          <v:textbox>
            <w:txbxContent>
              <w:p w:rsidR="00D66544" w:rsidRPr="00DD6DBD" w:rsidRDefault="00DD6DBD" w:rsidP="00CA1B21">
                <w:pPr>
                  <w:jc w:val="center"/>
                  <w:rPr>
                    <w:b/>
                    <w:color w:val="FFFFFF" w:themeColor="background1"/>
                    <w:sz w:val="36"/>
                    <w:szCs w:val="28"/>
                  </w:rPr>
                </w:pPr>
                <w:r w:rsidRPr="00DD6DBD">
                  <w:rPr>
                    <w:b/>
                    <w:color w:val="FFFFFF" w:themeColor="background1"/>
                    <w:sz w:val="36"/>
                    <w:szCs w:val="28"/>
                  </w:rPr>
                  <w:t>MAESTRÍA</w:t>
                </w:r>
                <w:r w:rsidR="00D66544" w:rsidRPr="00DD6DBD">
                  <w:rPr>
                    <w:b/>
                    <w:color w:val="FFFFFF" w:themeColor="background1"/>
                    <w:sz w:val="36"/>
                    <w:szCs w:val="28"/>
                  </w:rPr>
                  <w:t xml:space="preserve"> EN </w:t>
                </w:r>
                <w:r w:rsidRPr="00DD6DBD">
                  <w:rPr>
                    <w:b/>
                    <w:color w:val="FFFFFF" w:themeColor="background1"/>
                    <w:sz w:val="36"/>
                    <w:szCs w:val="28"/>
                  </w:rPr>
                  <w:t>ADMINISTRACIÓN</w:t>
                </w:r>
                <w:r w:rsidR="00D66544" w:rsidRPr="00DD6DBD">
                  <w:rPr>
                    <w:b/>
                    <w:color w:val="FFFFFF" w:themeColor="background1"/>
                    <w:sz w:val="36"/>
                    <w:szCs w:val="28"/>
                  </w:rPr>
                  <w:t xml:space="preserve"> Y </w:t>
                </w:r>
                <w:r w:rsidRPr="00DD6DBD">
                  <w:rPr>
                    <w:b/>
                    <w:color w:val="FFFFFF" w:themeColor="background1"/>
                    <w:sz w:val="36"/>
                    <w:szCs w:val="28"/>
                  </w:rPr>
                  <w:t>POLÍTICAS</w:t>
                </w:r>
                <w:r w:rsidR="00D66544" w:rsidRPr="00DD6DBD">
                  <w:rPr>
                    <w:b/>
                    <w:color w:val="FFFFFF" w:themeColor="background1"/>
                    <w:sz w:val="36"/>
                    <w:szCs w:val="28"/>
                  </w:rPr>
                  <w:t xml:space="preserve"> PÚBLICAS.</w:t>
                </w:r>
              </w:p>
            </w:txbxContent>
          </v:textbox>
        </v:shape>
      </w:pict>
    </w:r>
  </w:p>
  <w:p w:rsidR="00D66544" w:rsidRDefault="00D66544">
    <w:pPr>
      <w:pStyle w:val="Encabezado"/>
    </w:pPr>
  </w:p>
  <w:p w:rsidR="00D66544" w:rsidRDefault="00D66544">
    <w:pPr>
      <w:pStyle w:val="Encabezado"/>
    </w:pPr>
  </w:p>
  <w:p w:rsidR="00D66544" w:rsidRDefault="00D66544">
    <w:pPr>
      <w:pStyle w:val="Encabezado"/>
    </w:pPr>
  </w:p>
  <w:p w:rsidR="00D66544" w:rsidRDefault="006A37B9">
    <w:pPr>
      <w:pStyle w:val="Encabezado"/>
    </w:pPr>
    <w:r>
      <w:rPr>
        <w:noProof/>
      </w:rPr>
      <w:pict>
        <v:line id="13 Conector recto" o:spid="_x0000_s4100" style="position:absolute;z-index:251659264;visibility:visible;mso-wrap-distance-top:-8e-5mm;mso-wrap-distance-bottom:-8e-5mm;mso-width-relative:margin;mso-height-relative:margin" from="-81.1pt,8.35pt" to="512.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" strokecolor="#00b050" strokeweight="3pt">
          <v:shadow on="t" color="black" opacity="22937f" origin=",.5" offset="0,.63889mm"/>
          <o:lock v:ext="edit" shapetype="f"/>
        </v:line>
      </w:pict>
    </w:r>
  </w:p>
  <w:p w:rsidR="00D66544" w:rsidRDefault="006A37B9">
    <w:pPr>
      <w:pStyle w:val="Encabezado"/>
    </w:pPr>
    <w:r>
      <w:rPr>
        <w:noProof/>
      </w:rPr>
      <w:pict>
        <v:line id="12 Conector recto" o:spid="_x0000_s4099" style="position:absolute;z-index:251657216;visibility:visible;mso-wrap-distance-top:-8e-5mm;mso-wrap-distance-bottom:-8e-5mm;mso-width-relative:margin;mso-height-relative:margin" from="-81.1pt,-11.85pt" to="51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" strokecolor="#00b050" strokeweight="3pt">
          <v:shadow on="t" color="black" opacity="22937f" origin=",.5" offset="0,.63889mm"/>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4A6E"/>
    <w:multiLevelType w:val="multilevel"/>
    <w:tmpl w:val="508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B143247"/>
    <w:multiLevelType w:val="multilevel"/>
    <w:tmpl w:val="7E2A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8299B"/>
    <w:multiLevelType w:val="hybridMultilevel"/>
    <w:tmpl w:val="BF1C15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56A258F"/>
    <w:multiLevelType w:val="hybridMultilevel"/>
    <w:tmpl w:val="2662F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B1276C"/>
    <w:multiLevelType w:val="hybridMultilevel"/>
    <w:tmpl w:val="23AE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580CE9"/>
    <w:multiLevelType w:val="hybridMultilevel"/>
    <w:tmpl w:val="E6200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9EE5721"/>
    <w:multiLevelType w:val="multilevel"/>
    <w:tmpl w:val="9C1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3EB0656"/>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4D2209D"/>
    <w:multiLevelType w:val="hybridMultilevel"/>
    <w:tmpl w:val="877AC6CC"/>
    <w:lvl w:ilvl="0" w:tplc="5796A376">
      <w:start w:val="497"/>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ABE3BEB"/>
    <w:multiLevelType w:val="hybridMultilevel"/>
    <w:tmpl w:val="D430A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C76EE6"/>
    <w:multiLevelType w:val="multilevel"/>
    <w:tmpl w:val="733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D2FC0"/>
    <w:multiLevelType w:val="multilevel"/>
    <w:tmpl w:val="304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C76854"/>
    <w:multiLevelType w:val="multilevel"/>
    <w:tmpl w:val="44DA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5C2CCD"/>
    <w:multiLevelType w:val="multilevel"/>
    <w:tmpl w:val="D76C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B036BE"/>
    <w:multiLevelType w:val="multilevel"/>
    <w:tmpl w:val="C5E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614FFB"/>
    <w:multiLevelType w:val="multilevel"/>
    <w:tmpl w:val="467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C010DA"/>
    <w:multiLevelType w:val="hybridMultilevel"/>
    <w:tmpl w:val="60783D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6976D31"/>
    <w:multiLevelType w:val="hybridMultilevel"/>
    <w:tmpl w:val="88B64A14"/>
    <w:lvl w:ilvl="0" w:tplc="558E88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6A34ABF"/>
    <w:multiLevelType w:val="multilevel"/>
    <w:tmpl w:val="9C6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643AC8"/>
    <w:multiLevelType w:val="multilevel"/>
    <w:tmpl w:val="8C9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7">
    <w:nsid w:val="68BA6272"/>
    <w:multiLevelType w:val="multilevel"/>
    <w:tmpl w:val="F4C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0DE4650"/>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3A97AF5"/>
    <w:multiLevelType w:val="multilevel"/>
    <w:tmpl w:val="D1B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11CFD"/>
    <w:multiLevelType w:val="multilevel"/>
    <w:tmpl w:val="BEC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3C492E"/>
    <w:multiLevelType w:val="multilevel"/>
    <w:tmpl w:val="51F8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44114D"/>
    <w:multiLevelType w:val="multilevel"/>
    <w:tmpl w:val="C8D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8"/>
  </w:num>
  <w:num w:numId="3">
    <w:abstractNumId w:val="26"/>
  </w:num>
  <w:num w:numId="4">
    <w:abstractNumId w:val="1"/>
  </w:num>
  <w:num w:numId="5">
    <w:abstractNumId w:val="22"/>
  </w:num>
  <w:num w:numId="6">
    <w:abstractNumId w:val="11"/>
  </w:num>
  <w:num w:numId="7">
    <w:abstractNumId w:val="5"/>
  </w:num>
  <w:num w:numId="8">
    <w:abstractNumId w:val="34"/>
  </w:num>
  <w:num w:numId="9">
    <w:abstractNumId w:val="9"/>
  </w:num>
  <w:num w:numId="10">
    <w:abstractNumId w:val="25"/>
  </w:num>
  <w:num w:numId="11">
    <w:abstractNumId w:val="21"/>
  </w:num>
  <w:num w:numId="12">
    <w:abstractNumId w:val="27"/>
  </w:num>
  <w:num w:numId="13">
    <w:abstractNumId w:val="23"/>
  </w:num>
  <w:num w:numId="14">
    <w:abstractNumId w:val="29"/>
  </w:num>
  <w:num w:numId="15">
    <w:abstractNumId w:val="12"/>
  </w:num>
  <w:num w:numId="16">
    <w:abstractNumId w:val="3"/>
  </w:num>
  <w:num w:numId="17">
    <w:abstractNumId w:val="14"/>
  </w:num>
  <w:num w:numId="18">
    <w:abstractNumId w:val="6"/>
  </w:num>
  <w:num w:numId="19">
    <w:abstractNumId w:val="7"/>
  </w:num>
  <w:num w:numId="20">
    <w:abstractNumId w:val="8"/>
  </w:num>
  <w:num w:numId="21">
    <w:abstractNumId w:val="10"/>
  </w:num>
  <w:num w:numId="22">
    <w:abstractNumId w:val="13"/>
  </w:num>
  <w:num w:numId="23">
    <w:abstractNumId w:val="2"/>
  </w:num>
  <w:num w:numId="24">
    <w:abstractNumId w:val="19"/>
  </w:num>
  <w:num w:numId="25">
    <w:abstractNumId w:val="18"/>
  </w:num>
  <w:num w:numId="26">
    <w:abstractNumId w:val="31"/>
  </w:num>
  <w:num w:numId="27">
    <w:abstractNumId w:val="0"/>
  </w:num>
  <w:num w:numId="28">
    <w:abstractNumId w:val="33"/>
  </w:num>
  <w:num w:numId="29">
    <w:abstractNumId w:val="30"/>
  </w:num>
  <w:num w:numId="30">
    <w:abstractNumId w:val="20"/>
  </w:num>
  <w:num w:numId="31">
    <w:abstractNumId w:val="15"/>
  </w:num>
  <w:num w:numId="32">
    <w:abstractNumId w:val="24"/>
  </w:num>
  <w:num w:numId="33">
    <w:abstractNumId w:val="32"/>
  </w:num>
  <w:num w:numId="34">
    <w:abstractNumId w:val="17"/>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CA1B21"/>
    <w:rsid w:val="00002F5B"/>
    <w:rsid w:val="000050AA"/>
    <w:rsid w:val="000339E4"/>
    <w:rsid w:val="000342C4"/>
    <w:rsid w:val="00034C54"/>
    <w:rsid w:val="00085305"/>
    <w:rsid w:val="000938BB"/>
    <w:rsid w:val="000B0B2A"/>
    <w:rsid w:val="000C58D5"/>
    <w:rsid w:val="000F4105"/>
    <w:rsid w:val="00110954"/>
    <w:rsid w:val="0013008A"/>
    <w:rsid w:val="001323BA"/>
    <w:rsid w:val="001428EC"/>
    <w:rsid w:val="001438A3"/>
    <w:rsid w:val="001612C3"/>
    <w:rsid w:val="00162737"/>
    <w:rsid w:val="001A70B1"/>
    <w:rsid w:val="001B4556"/>
    <w:rsid w:val="001D1BD7"/>
    <w:rsid w:val="002025B1"/>
    <w:rsid w:val="00243B32"/>
    <w:rsid w:val="00256F3D"/>
    <w:rsid w:val="00261370"/>
    <w:rsid w:val="002A5921"/>
    <w:rsid w:val="00314151"/>
    <w:rsid w:val="00324A0C"/>
    <w:rsid w:val="00332739"/>
    <w:rsid w:val="003328DD"/>
    <w:rsid w:val="003604B6"/>
    <w:rsid w:val="00371751"/>
    <w:rsid w:val="0037766E"/>
    <w:rsid w:val="003A73E1"/>
    <w:rsid w:val="003B1032"/>
    <w:rsid w:val="003C5015"/>
    <w:rsid w:val="003D4672"/>
    <w:rsid w:val="003E017E"/>
    <w:rsid w:val="003F4662"/>
    <w:rsid w:val="004118CC"/>
    <w:rsid w:val="00417B20"/>
    <w:rsid w:val="004241A6"/>
    <w:rsid w:val="00424F7C"/>
    <w:rsid w:val="004426E2"/>
    <w:rsid w:val="00445D4C"/>
    <w:rsid w:val="0045190C"/>
    <w:rsid w:val="00453CEF"/>
    <w:rsid w:val="00461697"/>
    <w:rsid w:val="00475A54"/>
    <w:rsid w:val="00484AC4"/>
    <w:rsid w:val="004858FE"/>
    <w:rsid w:val="004928A9"/>
    <w:rsid w:val="004A0A3A"/>
    <w:rsid w:val="004E6CC5"/>
    <w:rsid w:val="004F3B1C"/>
    <w:rsid w:val="005123F4"/>
    <w:rsid w:val="0051339D"/>
    <w:rsid w:val="005204BB"/>
    <w:rsid w:val="0054112F"/>
    <w:rsid w:val="00544E7C"/>
    <w:rsid w:val="005617AE"/>
    <w:rsid w:val="00567325"/>
    <w:rsid w:val="0058168F"/>
    <w:rsid w:val="005A7908"/>
    <w:rsid w:val="005A7922"/>
    <w:rsid w:val="005B1DD8"/>
    <w:rsid w:val="005C6FBD"/>
    <w:rsid w:val="005E143F"/>
    <w:rsid w:val="006316F4"/>
    <w:rsid w:val="006411A8"/>
    <w:rsid w:val="00642C2D"/>
    <w:rsid w:val="00651773"/>
    <w:rsid w:val="0066734F"/>
    <w:rsid w:val="00690A3B"/>
    <w:rsid w:val="006A0C58"/>
    <w:rsid w:val="006A307A"/>
    <w:rsid w:val="006A37B9"/>
    <w:rsid w:val="006B22B6"/>
    <w:rsid w:val="006C15EA"/>
    <w:rsid w:val="006C30D0"/>
    <w:rsid w:val="006D588D"/>
    <w:rsid w:val="007306BD"/>
    <w:rsid w:val="0077351B"/>
    <w:rsid w:val="00795225"/>
    <w:rsid w:val="007B60F2"/>
    <w:rsid w:val="007C438F"/>
    <w:rsid w:val="007F71C3"/>
    <w:rsid w:val="00815419"/>
    <w:rsid w:val="00815EDA"/>
    <w:rsid w:val="00834200"/>
    <w:rsid w:val="00854108"/>
    <w:rsid w:val="00854D70"/>
    <w:rsid w:val="00864F9D"/>
    <w:rsid w:val="00873373"/>
    <w:rsid w:val="0087415C"/>
    <w:rsid w:val="00886F1F"/>
    <w:rsid w:val="008941A3"/>
    <w:rsid w:val="008A1DCC"/>
    <w:rsid w:val="008B6162"/>
    <w:rsid w:val="009043AE"/>
    <w:rsid w:val="009074A4"/>
    <w:rsid w:val="009209B7"/>
    <w:rsid w:val="00963CB2"/>
    <w:rsid w:val="0096797D"/>
    <w:rsid w:val="00981169"/>
    <w:rsid w:val="00991A08"/>
    <w:rsid w:val="009A42AE"/>
    <w:rsid w:val="009A45F8"/>
    <w:rsid w:val="009A5190"/>
    <w:rsid w:val="009B2FC6"/>
    <w:rsid w:val="009D529E"/>
    <w:rsid w:val="009E669B"/>
    <w:rsid w:val="009F0AE4"/>
    <w:rsid w:val="009F2CA4"/>
    <w:rsid w:val="00A14A0C"/>
    <w:rsid w:val="00A27437"/>
    <w:rsid w:val="00A426A7"/>
    <w:rsid w:val="00A64663"/>
    <w:rsid w:val="00A67A37"/>
    <w:rsid w:val="00A94FAB"/>
    <w:rsid w:val="00AA1859"/>
    <w:rsid w:val="00AA4FAB"/>
    <w:rsid w:val="00AF1495"/>
    <w:rsid w:val="00B13285"/>
    <w:rsid w:val="00B35085"/>
    <w:rsid w:val="00B6343E"/>
    <w:rsid w:val="00B72840"/>
    <w:rsid w:val="00BA12A7"/>
    <w:rsid w:val="00BA16A1"/>
    <w:rsid w:val="00BA3EBF"/>
    <w:rsid w:val="00BB360D"/>
    <w:rsid w:val="00BD31B5"/>
    <w:rsid w:val="00BE564B"/>
    <w:rsid w:val="00BF6EAE"/>
    <w:rsid w:val="00BF7310"/>
    <w:rsid w:val="00C01C38"/>
    <w:rsid w:val="00C01C68"/>
    <w:rsid w:val="00C34F11"/>
    <w:rsid w:val="00C576DD"/>
    <w:rsid w:val="00C81009"/>
    <w:rsid w:val="00CA1B21"/>
    <w:rsid w:val="00CB73D8"/>
    <w:rsid w:val="00CC04DC"/>
    <w:rsid w:val="00CC6E46"/>
    <w:rsid w:val="00D034A5"/>
    <w:rsid w:val="00D163EE"/>
    <w:rsid w:val="00D47414"/>
    <w:rsid w:val="00D60BC7"/>
    <w:rsid w:val="00D66544"/>
    <w:rsid w:val="00D6771F"/>
    <w:rsid w:val="00D77F5B"/>
    <w:rsid w:val="00D8352E"/>
    <w:rsid w:val="00D91459"/>
    <w:rsid w:val="00DB03CD"/>
    <w:rsid w:val="00DB17C4"/>
    <w:rsid w:val="00DC04EF"/>
    <w:rsid w:val="00DC619C"/>
    <w:rsid w:val="00DC73CD"/>
    <w:rsid w:val="00DD41AB"/>
    <w:rsid w:val="00DD4CEE"/>
    <w:rsid w:val="00DD6DBD"/>
    <w:rsid w:val="00DD7173"/>
    <w:rsid w:val="00DD7396"/>
    <w:rsid w:val="00DE0534"/>
    <w:rsid w:val="00DF39AD"/>
    <w:rsid w:val="00E14DD8"/>
    <w:rsid w:val="00E231CA"/>
    <w:rsid w:val="00E42957"/>
    <w:rsid w:val="00E439F3"/>
    <w:rsid w:val="00E56A1E"/>
    <w:rsid w:val="00E6469F"/>
    <w:rsid w:val="00EB0737"/>
    <w:rsid w:val="00EC17F1"/>
    <w:rsid w:val="00EE41DB"/>
    <w:rsid w:val="00F06F50"/>
    <w:rsid w:val="00F11B9E"/>
    <w:rsid w:val="00F12B2B"/>
    <w:rsid w:val="00F1446D"/>
    <w:rsid w:val="00F16AF2"/>
    <w:rsid w:val="00F2028D"/>
    <w:rsid w:val="00F25A7D"/>
    <w:rsid w:val="00F31B70"/>
    <w:rsid w:val="00F33766"/>
    <w:rsid w:val="00F43EAE"/>
    <w:rsid w:val="00F45DDD"/>
    <w:rsid w:val="00F574D3"/>
    <w:rsid w:val="00F763AD"/>
    <w:rsid w:val="00F83ADA"/>
    <w:rsid w:val="00FA0951"/>
    <w:rsid w:val="00FA5633"/>
    <w:rsid w:val="00FB2BE9"/>
    <w:rsid w:val="00FC2F3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 w:type="table" w:styleId="Sombreadoclaro">
    <w:name w:val="Light Shading"/>
    <w:basedOn w:val="Tablanormal"/>
    <w:uiPriority w:val="60"/>
    <w:rsid w:val="00484AC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484A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
    <w:name w:val="Light Grid"/>
    <w:basedOn w:val="Tablanormal"/>
    <w:uiPriority w:val="62"/>
    <w:rsid w:val="00484A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215210">
      <w:bodyDiv w:val="1"/>
      <w:marLeft w:val="0"/>
      <w:marRight w:val="0"/>
      <w:marTop w:val="0"/>
      <w:marBottom w:val="0"/>
      <w:divBdr>
        <w:top w:val="none" w:sz="0" w:space="0" w:color="auto"/>
        <w:left w:val="none" w:sz="0" w:space="0" w:color="auto"/>
        <w:bottom w:val="none" w:sz="0" w:space="0" w:color="auto"/>
        <w:right w:val="none" w:sz="0" w:space="0" w:color="auto"/>
      </w:divBdr>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306474003">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899512530">
      <w:bodyDiv w:val="1"/>
      <w:marLeft w:val="0"/>
      <w:marRight w:val="0"/>
      <w:marTop w:val="0"/>
      <w:marBottom w:val="0"/>
      <w:divBdr>
        <w:top w:val="none" w:sz="0" w:space="0" w:color="auto"/>
        <w:left w:val="none" w:sz="0" w:space="0" w:color="auto"/>
        <w:bottom w:val="none" w:sz="0" w:space="0" w:color="auto"/>
        <w:right w:val="none" w:sz="0" w:space="0" w:color="auto"/>
      </w:divBdr>
    </w:div>
    <w:div w:id="1041586784">
      <w:bodyDiv w:val="1"/>
      <w:marLeft w:val="0"/>
      <w:marRight w:val="0"/>
      <w:marTop w:val="0"/>
      <w:marBottom w:val="0"/>
      <w:divBdr>
        <w:top w:val="none" w:sz="0" w:space="0" w:color="auto"/>
        <w:left w:val="none" w:sz="0" w:space="0" w:color="auto"/>
        <w:bottom w:val="none" w:sz="0" w:space="0" w:color="auto"/>
        <w:right w:val="none" w:sz="0" w:space="0" w:color="auto"/>
      </w:divBdr>
    </w:div>
    <w:div w:id="1047267592">
      <w:bodyDiv w:val="1"/>
      <w:marLeft w:val="0"/>
      <w:marRight w:val="0"/>
      <w:marTop w:val="0"/>
      <w:marBottom w:val="0"/>
      <w:divBdr>
        <w:top w:val="none" w:sz="0" w:space="0" w:color="auto"/>
        <w:left w:val="none" w:sz="0" w:space="0" w:color="auto"/>
        <w:bottom w:val="none" w:sz="0" w:space="0" w:color="auto"/>
        <w:right w:val="none" w:sz="0" w:space="0" w:color="auto"/>
      </w:divBdr>
      <w:divsChild>
        <w:div w:id="621620712">
          <w:marLeft w:val="0"/>
          <w:marRight w:val="0"/>
          <w:marTop w:val="0"/>
          <w:marBottom w:val="0"/>
          <w:divBdr>
            <w:top w:val="single" w:sz="6" w:space="8" w:color="FFFFFF"/>
            <w:left w:val="single" w:sz="6" w:space="8" w:color="DBDBDB"/>
            <w:bottom w:val="single" w:sz="6" w:space="8" w:color="DBDBDB"/>
            <w:right w:val="single" w:sz="6" w:space="8" w:color="DBDBDB"/>
          </w:divBdr>
          <w:divsChild>
            <w:div w:id="1738087610">
              <w:marLeft w:val="0"/>
              <w:marRight w:val="0"/>
              <w:marTop w:val="0"/>
              <w:marBottom w:val="0"/>
              <w:divBdr>
                <w:top w:val="none" w:sz="0" w:space="0" w:color="auto"/>
                <w:left w:val="none" w:sz="0" w:space="0" w:color="auto"/>
                <w:bottom w:val="dotted" w:sz="6" w:space="8" w:color="CCCCCC"/>
                <w:right w:val="none" w:sz="0" w:space="0" w:color="auto"/>
              </w:divBdr>
            </w:div>
            <w:div w:id="53543405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93167434">
      <w:bodyDiv w:val="1"/>
      <w:marLeft w:val="0"/>
      <w:marRight w:val="0"/>
      <w:marTop w:val="0"/>
      <w:marBottom w:val="0"/>
      <w:divBdr>
        <w:top w:val="none" w:sz="0" w:space="0" w:color="auto"/>
        <w:left w:val="none" w:sz="0" w:space="0" w:color="auto"/>
        <w:bottom w:val="none" w:sz="0" w:space="0" w:color="auto"/>
        <w:right w:val="none" w:sz="0" w:space="0" w:color="auto"/>
      </w:divBdr>
      <w:divsChild>
        <w:div w:id="1392734827">
          <w:marLeft w:val="0"/>
          <w:marRight w:val="0"/>
          <w:marTop w:val="0"/>
          <w:marBottom w:val="0"/>
          <w:divBdr>
            <w:top w:val="none" w:sz="0" w:space="0" w:color="auto"/>
            <w:left w:val="none" w:sz="0" w:space="0" w:color="auto"/>
            <w:bottom w:val="none" w:sz="0" w:space="0" w:color="auto"/>
            <w:right w:val="none" w:sz="0" w:space="0" w:color="auto"/>
          </w:divBdr>
        </w:div>
        <w:div w:id="673000289">
          <w:marLeft w:val="0"/>
          <w:marRight w:val="0"/>
          <w:marTop w:val="0"/>
          <w:marBottom w:val="0"/>
          <w:divBdr>
            <w:top w:val="none" w:sz="0" w:space="0" w:color="auto"/>
            <w:left w:val="none" w:sz="0" w:space="0" w:color="auto"/>
            <w:bottom w:val="none" w:sz="0" w:space="0" w:color="auto"/>
            <w:right w:val="none" w:sz="0" w:space="0" w:color="auto"/>
          </w:divBdr>
        </w:div>
        <w:div w:id="993492641">
          <w:marLeft w:val="0"/>
          <w:marRight w:val="0"/>
          <w:marTop w:val="0"/>
          <w:marBottom w:val="0"/>
          <w:divBdr>
            <w:top w:val="none" w:sz="0" w:space="0" w:color="auto"/>
            <w:left w:val="none" w:sz="0" w:space="0" w:color="auto"/>
            <w:bottom w:val="none" w:sz="0" w:space="0" w:color="auto"/>
            <w:right w:val="none" w:sz="0" w:space="0" w:color="auto"/>
          </w:divBdr>
        </w:div>
        <w:div w:id="292099075">
          <w:marLeft w:val="0"/>
          <w:marRight w:val="0"/>
          <w:marTop w:val="0"/>
          <w:marBottom w:val="0"/>
          <w:divBdr>
            <w:top w:val="none" w:sz="0" w:space="0" w:color="auto"/>
            <w:left w:val="none" w:sz="0" w:space="0" w:color="auto"/>
            <w:bottom w:val="none" w:sz="0" w:space="0" w:color="auto"/>
            <w:right w:val="none" w:sz="0" w:space="0" w:color="auto"/>
          </w:divBdr>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103454722">
      <w:bodyDiv w:val="1"/>
      <w:marLeft w:val="0"/>
      <w:marRight w:val="0"/>
      <w:marTop w:val="0"/>
      <w:marBottom w:val="0"/>
      <w:divBdr>
        <w:top w:val="none" w:sz="0" w:space="0" w:color="auto"/>
        <w:left w:val="none" w:sz="0" w:space="0" w:color="auto"/>
        <w:bottom w:val="none" w:sz="0" w:space="0" w:color="auto"/>
        <w:right w:val="none" w:sz="0" w:space="0" w:color="auto"/>
      </w:divBdr>
      <w:divsChild>
        <w:div w:id="94057327">
          <w:marLeft w:val="0"/>
          <w:marRight w:val="0"/>
          <w:marTop w:val="0"/>
          <w:marBottom w:val="0"/>
          <w:divBdr>
            <w:top w:val="none" w:sz="0" w:space="0" w:color="auto"/>
            <w:left w:val="none" w:sz="0" w:space="0" w:color="auto"/>
            <w:bottom w:val="dotted" w:sz="6" w:space="8" w:color="CCCCCC"/>
            <w:right w:val="none" w:sz="0" w:space="0" w:color="auto"/>
          </w:divBdr>
        </w:div>
      </w:divsChild>
    </w:div>
    <w:div w:id="1243838089">
      <w:bodyDiv w:val="1"/>
      <w:marLeft w:val="0"/>
      <w:marRight w:val="0"/>
      <w:marTop w:val="0"/>
      <w:marBottom w:val="0"/>
      <w:divBdr>
        <w:top w:val="none" w:sz="0" w:space="0" w:color="auto"/>
        <w:left w:val="none" w:sz="0" w:space="0" w:color="auto"/>
        <w:bottom w:val="none" w:sz="0" w:space="0" w:color="auto"/>
        <w:right w:val="none" w:sz="0" w:space="0" w:color="auto"/>
      </w:divBdr>
      <w:divsChild>
        <w:div w:id="431363906">
          <w:marLeft w:val="0"/>
          <w:marRight w:val="0"/>
          <w:marTop w:val="0"/>
          <w:marBottom w:val="0"/>
          <w:divBdr>
            <w:top w:val="none" w:sz="0" w:space="0" w:color="auto"/>
            <w:left w:val="none" w:sz="0" w:space="0" w:color="auto"/>
            <w:bottom w:val="none" w:sz="0" w:space="0" w:color="auto"/>
            <w:right w:val="none" w:sz="0" w:space="0" w:color="auto"/>
          </w:divBdr>
        </w:div>
        <w:div w:id="1568346888">
          <w:marLeft w:val="0"/>
          <w:marRight w:val="0"/>
          <w:marTop w:val="0"/>
          <w:marBottom w:val="0"/>
          <w:divBdr>
            <w:top w:val="none" w:sz="0" w:space="0" w:color="auto"/>
            <w:left w:val="none" w:sz="0" w:space="0" w:color="auto"/>
            <w:bottom w:val="none" w:sz="0" w:space="0" w:color="auto"/>
            <w:right w:val="none" w:sz="0" w:space="0" w:color="auto"/>
          </w:divBdr>
        </w:div>
        <w:div w:id="367342514">
          <w:marLeft w:val="0"/>
          <w:marRight w:val="0"/>
          <w:marTop w:val="0"/>
          <w:marBottom w:val="0"/>
          <w:divBdr>
            <w:top w:val="none" w:sz="0" w:space="0" w:color="auto"/>
            <w:left w:val="none" w:sz="0" w:space="0" w:color="auto"/>
            <w:bottom w:val="none" w:sz="0" w:space="0" w:color="auto"/>
            <w:right w:val="none" w:sz="0" w:space="0" w:color="auto"/>
          </w:divBdr>
        </w:div>
        <w:div w:id="1319000496">
          <w:marLeft w:val="0"/>
          <w:marRight w:val="0"/>
          <w:marTop w:val="0"/>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441073350">
      <w:bodyDiv w:val="1"/>
      <w:marLeft w:val="0"/>
      <w:marRight w:val="0"/>
      <w:marTop w:val="0"/>
      <w:marBottom w:val="0"/>
      <w:divBdr>
        <w:top w:val="none" w:sz="0" w:space="0" w:color="auto"/>
        <w:left w:val="none" w:sz="0" w:space="0" w:color="auto"/>
        <w:bottom w:val="none" w:sz="0" w:space="0" w:color="auto"/>
        <w:right w:val="none" w:sz="0" w:space="0" w:color="auto"/>
      </w:divBdr>
      <w:divsChild>
        <w:div w:id="1320308650">
          <w:marLeft w:val="0"/>
          <w:marRight w:val="0"/>
          <w:marTop w:val="0"/>
          <w:marBottom w:val="0"/>
          <w:divBdr>
            <w:top w:val="single" w:sz="6" w:space="7" w:color="FFFFFF"/>
            <w:left w:val="single" w:sz="6" w:space="7" w:color="DBDBDB"/>
            <w:bottom w:val="single" w:sz="6" w:space="7" w:color="DBDBDB"/>
            <w:right w:val="single" w:sz="6" w:space="7" w:color="DBDBDB"/>
          </w:divBdr>
          <w:divsChild>
            <w:div w:id="1583446277">
              <w:marLeft w:val="0"/>
              <w:marRight w:val="0"/>
              <w:marTop w:val="0"/>
              <w:marBottom w:val="0"/>
              <w:divBdr>
                <w:top w:val="none" w:sz="0" w:space="0" w:color="auto"/>
                <w:left w:val="none" w:sz="0" w:space="0" w:color="auto"/>
                <w:bottom w:val="dotted" w:sz="6" w:space="7" w:color="CCCCCC"/>
                <w:right w:val="none" w:sz="0" w:space="0" w:color="auto"/>
              </w:divBdr>
            </w:div>
            <w:div w:id="1893688059">
              <w:marLeft w:val="0"/>
              <w:marRight w:val="0"/>
              <w:marTop w:val="0"/>
              <w:marBottom w:val="0"/>
              <w:divBdr>
                <w:top w:val="none" w:sz="0" w:space="0" w:color="auto"/>
                <w:left w:val="none" w:sz="0" w:space="0" w:color="auto"/>
                <w:bottom w:val="dotted" w:sz="6" w:space="7" w:color="CCCCCC"/>
                <w:right w:val="none" w:sz="0" w:space="0" w:color="auto"/>
              </w:divBdr>
            </w:div>
          </w:divsChild>
        </w:div>
      </w:divsChild>
    </w:div>
    <w:div w:id="1448502641">
      <w:bodyDiv w:val="1"/>
      <w:marLeft w:val="0"/>
      <w:marRight w:val="0"/>
      <w:marTop w:val="0"/>
      <w:marBottom w:val="0"/>
      <w:divBdr>
        <w:top w:val="none" w:sz="0" w:space="0" w:color="auto"/>
        <w:left w:val="none" w:sz="0" w:space="0" w:color="auto"/>
        <w:bottom w:val="none" w:sz="0" w:space="0" w:color="auto"/>
        <w:right w:val="none" w:sz="0" w:space="0" w:color="auto"/>
      </w:divBdr>
    </w:div>
    <w:div w:id="1516723811">
      <w:bodyDiv w:val="1"/>
      <w:marLeft w:val="0"/>
      <w:marRight w:val="0"/>
      <w:marTop w:val="0"/>
      <w:marBottom w:val="0"/>
      <w:divBdr>
        <w:top w:val="none" w:sz="0" w:space="0" w:color="auto"/>
        <w:left w:val="none" w:sz="0" w:space="0" w:color="auto"/>
        <w:bottom w:val="none" w:sz="0" w:space="0" w:color="auto"/>
        <w:right w:val="none" w:sz="0" w:space="0" w:color="auto"/>
      </w:divBdr>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668483200">
      <w:bodyDiv w:val="1"/>
      <w:marLeft w:val="0"/>
      <w:marRight w:val="0"/>
      <w:marTop w:val="0"/>
      <w:marBottom w:val="0"/>
      <w:divBdr>
        <w:top w:val="none" w:sz="0" w:space="0" w:color="auto"/>
        <w:left w:val="none" w:sz="0" w:space="0" w:color="auto"/>
        <w:bottom w:val="none" w:sz="0" w:space="0" w:color="auto"/>
        <w:right w:val="none" w:sz="0" w:space="0" w:color="auto"/>
      </w:divBdr>
    </w:div>
    <w:div w:id="1744643885">
      <w:bodyDiv w:val="1"/>
      <w:marLeft w:val="0"/>
      <w:marRight w:val="0"/>
      <w:marTop w:val="0"/>
      <w:marBottom w:val="0"/>
      <w:divBdr>
        <w:top w:val="none" w:sz="0" w:space="0" w:color="auto"/>
        <w:left w:val="none" w:sz="0" w:space="0" w:color="auto"/>
        <w:bottom w:val="none" w:sz="0" w:space="0" w:color="auto"/>
        <w:right w:val="none" w:sz="0" w:space="0" w:color="auto"/>
      </w:divBdr>
      <w:divsChild>
        <w:div w:id="1586449573">
          <w:marLeft w:val="0"/>
          <w:marRight w:val="0"/>
          <w:marTop w:val="0"/>
          <w:marBottom w:val="0"/>
          <w:divBdr>
            <w:top w:val="single" w:sz="6" w:space="8" w:color="FFFFFF"/>
            <w:left w:val="single" w:sz="6" w:space="8" w:color="DBDBDB"/>
            <w:bottom w:val="single" w:sz="6" w:space="8" w:color="DBDBDB"/>
            <w:right w:val="single" w:sz="6" w:space="8" w:color="DBDBDB"/>
          </w:divBdr>
          <w:divsChild>
            <w:div w:id="1450784990">
              <w:marLeft w:val="0"/>
              <w:marRight w:val="0"/>
              <w:marTop w:val="0"/>
              <w:marBottom w:val="0"/>
              <w:divBdr>
                <w:top w:val="none" w:sz="0" w:space="0" w:color="auto"/>
                <w:left w:val="none" w:sz="0" w:space="0" w:color="auto"/>
                <w:bottom w:val="dotted" w:sz="6" w:space="8" w:color="CCCCCC"/>
                <w:right w:val="none" w:sz="0" w:space="0" w:color="auto"/>
              </w:divBdr>
            </w:div>
            <w:div w:id="11084265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losalzabarco.wordpress.com/wp-admin/post-new.php" TargetMode="External"/><Relationship Id="rId13" Type="http://schemas.openxmlformats.org/officeDocument/2006/relationships/hyperlink" Target="https://carlosalzabarco.wordpress.com/wp-admin/post-new.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rlosalzabarco.wordpress.com/wp-admin/post-new.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losalzabarco.wordpress.com/wp-admin/post-new.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arlosalzabarco.wordpress.com/wp-admin/post-new.php" TargetMode="External"/><Relationship Id="rId4" Type="http://schemas.openxmlformats.org/officeDocument/2006/relationships/settings" Target="settings.xml"/><Relationship Id="rId9" Type="http://schemas.openxmlformats.org/officeDocument/2006/relationships/hyperlink" Target="https://carlosalzabarco.wordpress.com/wp-admin/post-new.ph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36886-9275-42C5-8823-0A41CBFB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844</Words>
  <Characters>4645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Next</cp:lastModifiedBy>
  <cp:revision>2</cp:revision>
  <cp:lastPrinted>2015-01-09T19:30:00Z</cp:lastPrinted>
  <dcterms:created xsi:type="dcterms:W3CDTF">2015-04-28T10:22:00Z</dcterms:created>
  <dcterms:modified xsi:type="dcterms:W3CDTF">2015-04-28T10:22:00Z</dcterms:modified>
</cp:coreProperties>
</file>