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BA" w:rsidRPr="00607010" w:rsidRDefault="00A804E5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  <w:r w:rsidRPr="00607010">
        <w:rPr>
          <w:rFonts w:ascii="Arial" w:eastAsia="Times New Roman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CD0688" wp14:editId="2D805B16">
            <wp:simplePos x="0" y="0"/>
            <wp:positionH relativeFrom="margin">
              <wp:posOffset>-24130</wp:posOffset>
            </wp:positionH>
            <wp:positionV relativeFrom="margin">
              <wp:posOffset>118745</wp:posOffset>
            </wp:positionV>
            <wp:extent cx="2743200" cy="676275"/>
            <wp:effectExtent l="0" t="0" r="0" b="9525"/>
            <wp:wrapNone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A804E5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84"/>
          <w:szCs w:val="84"/>
          <w:lang w:eastAsia="es-MX"/>
        </w:rPr>
      </w:pPr>
    </w:p>
    <w:p w:rsidR="009B01BA" w:rsidRPr="00607010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607010">
        <w:rPr>
          <w:rFonts w:ascii="Arial" w:eastAsia="Times New Roman" w:hAnsi="Arial" w:cs="Arial"/>
          <w:b/>
          <w:lang w:eastAsia="es-MX"/>
        </w:rPr>
        <w:t>Maestría en Administración y Políticas Públicas</w:t>
      </w:r>
    </w:p>
    <w:p w:rsidR="009B01BA" w:rsidRPr="00A804E5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84"/>
          <w:szCs w:val="84"/>
          <w:lang w:eastAsia="es-MX"/>
        </w:rPr>
      </w:pPr>
    </w:p>
    <w:p w:rsidR="009B01BA" w:rsidRPr="00607010" w:rsidRDefault="00607010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607010">
        <w:rPr>
          <w:rFonts w:ascii="Arial" w:eastAsia="Times New Roman" w:hAnsi="Arial" w:cs="Arial"/>
          <w:b/>
          <w:lang w:eastAsia="es-MX"/>
        </w:rPr>
        <w:t>Diseño y Análisis de Políticas Públicas</w:t>
      </w:r>
    </w:p>
    <w:p w:rsidR="009B01BA" w:rsidRPr="00A804E5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84"/>
          <w:szCs w:val="84"/>
          <w:lang w:eastAsia="es-MX"/>
        </w:rPr>
      </w:pPr>
    </w:p>
    <w:p w:rsidR="009B01BA" w:rsidRPr="00607010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lang w:eastAsia="es-MX"/>
        </w:rPr>
      </w:pPr>
      <w:r w:rsidRPr="00607010">
        <w:rPr>
          <w:rFonts w:ascii="Arial" w:eastAsia="Times New Roman" w:hAnsi="Arial" w:cs="Arial"/>
          <w:b/>
          <w:lang w:eastAsia="es-MX"/>
        </w:rPr>
        <w:t>Dra</w:t>
      </w:r>
      <w:r w:rsidR="00607010">
        <w:rPr>
          <w:rFonts w:ascii="Arial" w:eastAsia="Times New Roman" w:hAnsi="Arial" w:cs="Arial"/>
          <w:b/>
          <w:lang w:eastAsia="es-MX"/>
        </w:rPr>
        <w:t>.</w:t>
      </w:r>
      <w:r w:rsidRPr="00607010">
        <w:rPr>
          <w:rFonts w:ascii="Arial" w:eastAsia="Times New Roman" w:hAnsi="Arial" w:cs="Arial"/>
          <w:b/>
          <w:lang w:eastAsia="es-MX"/>
        </w:rPr>
        <w:t xml:space="preserve"> </w:t>
      </w:r>
      <w:r w:rsidR="00607010" w:rsidRPr="00607010">
        <w:rPr>
          <w:rFonts w:ascii="Arial" w:eastAsia="Times New Roman" w:hAnsi="Arial" w:cs="Arial"/>
          <w:b/>
          <w:lang w:eastAsia="es-MX"/>
        </w:rPr>
        <w:t>C. Odalys Peñate López</w:t>
      </w:r>
    </w:p>
    <w:p w:rsidR="009B01BA" w:rsidRPr="00A804E5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84"/>
          <w:szCs w:val="84"/>
          <w:lang w:eastAsia="es-MX"/>
        </w:rPr>
      </w:pPr>
    </w:p>
    <w:p w:rsidR="00FD7BA0" w:rsidRDefault="009B01BA" w:rsidP="00FD7BA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lang w:eastAsia="es-MX"/>
        </w:rPr>
      </w:pPr>
      <w:r w:rsidRPr="00607010">
        <w:rPr>
          <w:rFonts w:ascii="Arial" w:eastAsia="Times New Roman" w:hAnsi="Arial" w:cs="Arial"/>
          <w:b/>
          <w:bCs/>
          <w:lang w:eastAsia="es-MX"/>
        </w:rPr>
        <w:t xml:space="preserve">Actividad </w:t>
      </w:r>
      <w:r w:rsidR="00FD7BA0">
        <w:rPr>
          <w:rFonts w:ascii="Arial" w:eastAsia="Times New Roman" w:hAnsi="Arial" w:cs="Arial"/>
          <w:b/>
          <w:bCs/>
          <w:lang w:eastAsia="es-MX"/>
        </w:rPr>
        <w:t>3</w:t>
      </w:r>
    </w:p>
    <w:p w:rsidR="009B01BA" w:rsidRPr="00607010" w:rsidRDefault="00FD7BA0" w:rsidP="00FD7BA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bCs/>
          <w:lang w:eastAsia="es-MX"/>
        </w:rPr>
        <w:t>Tipologías y Fuentes de Información que tributan a las Políticas Públicas.</w:t>
      </w:r>
    </w:p>
    <w:p w:rsidR="009B01BA" w:rsidRPr="00A804E5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84"/>
          <w:szCs w:val="84"/>
          <w:lang w:eastAsia="es-MX"/>
        </w:rPr>
      </w:pPr>
    </w:p>
    <w:p w:rsidR="009B01BA" w:rsidRPr="00607010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lang w:eastAsia="es-MX"/>
        </w:rPr>
      </w:pPr>
      <w:r w:rsidRPr="00607010">
        <w:rPr>
          <w:rFonts w:ascii="Arial" w:eastAsia="Times New Roman" w:hAnsi="Arial" w:cs="Arial"/>
          <w:b/>
          <w:lang w:eastAsia="es-MX"/>
        </w:rPr>
        <w:t>Marco Antonio Cortes Velarde</w:t>
      </w:r>
    </w:p>
    <w:p w:rsidR="009B01BA" w:rsidRPr="00A804E5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84"/>
          <w:szCs w:val="84"/>
          <w:lang w:eastAsia="es-MX"/>
        </w:rPr>
      </w:pPr>
    </w:p>
    <w:p w:rsid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lang w:eastAsia="es-MX"/>
        </w:rPr>
      </w:pPr>
      <w:r w:rsidRPr="00607010">
        <w:rPr>
          <w:rFonts w:ascii="Arial" w:eastAsia="Times New Roman" w:hAnsi="Arial" w:cs="Arial"/>
          <w:lang w:eastAsia="es-MX"/>
        </w:rPr>
        <w:t xml:space="preserve">Tapachula, Chiapas, México a, </w:t>
      </w:r>
      <w:r w:rsidR="003118C5">
        <w:rPr>
          <w:rFonts w:ascii="Arial" w:eastAsia="Times New Roman" w:hAnsi="Arial" w:cs="Arial"/>
          <w:b/>
          <w:u w:val="single"/>
          <w:lang w:eastAsia="es-MX"/>
        </w:rPr>
        <w:t>03</w:t>
      </w:r>
      <w:r w:rsidRPr="00607010">
        <w:rPr>
          <w:rFonts w:ascii="Arial" w:eastAsia="Times New Roman" w:hAnsi="Arial" w:cs="Arial"/>
          <w:lang w:eastAsia="es-MX"/>
        </w:rPr>
        <w:t xml:space="preserve"> de </w:t>
      </w:r>
      <w:r w:rsidR="003118C5">
        <w:rPr>
          <w:rFonts w:ascii="Arial" w:eastAsia="Times New Roman" w:hAnsi="Arial" w:cs="Arial"/>
          <w:b/>
          <w:u w:val="single"/>
          <w:lang w:eastAsia="es-MX"/>
        </w:rPr>
        <w:t>Mayo</w:t>
      </w:r>
      <w:r w:rsidRPr="00607010">
        <w:rPr>
          <w:rFonts w:ascii="Arial" w:eastAsia="Times New Roman" w:hAnsi="Arial" w:cs="Arial"/>
          <w:lang w:eastAsia="es-MX"/>
        </w:rPr>
        <w:t xml:space="preserve"> de </w:t>
      </w:r>
      <w:r w:rsidRPr="00607010">
        <w:rPr>
          <w:rFonts w:ascii="Arial" w:eastAsia="Times New Roman" w:hAnsi="Arial" w:cs="Arial"/>
          <w:b/>
          <w:u w:val="single"/>
          <w:lang w:eastAsia="es-MX"/>
        </w:rPr>
        <w:t>201</w:t>
      </w:r>
      <w:r w:rsidR="00607010" w:rsidRPr="00607010">
        <w:rPr>
          <w:rFonts w:ascii="Arial" w:eastAsia="Times New Roman" w:hAnsi="Arial" w:cs="Arial"/>
          <w:b/>
          <w:u w:val="single"/>
          <w:lang w:eastAsia="es-MX"/>
        </w:rPr>
        <w:t>5</w:t>
      </w:r>
      <w:r w:rsidRPr="00607010">
        <w:rPr>
          <w:rFonts w:ascii="Arial" w:eastAsia="Times New Roman" w:hAnsi="Arial" w:cs="Arial"/>
          <w:lang w:eastAsia="es-MX"/>
        </w:rPr>
        <w:t>.</w:t>
      </w:r>
    </w:p>
    <w:p w:rsidR="0051323C" w:rsidRDefault="00AE5AE8" w:rsidP="005132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MT" w:hAnsi="Arial" w:cs="Arial"/>
        </w:rPr>
      </w:pPr>
      <w:r w:rsidRPr="00AE5AE8">
        <w:rPr>
          <w:rFonts w:ascii="Arial" w:eastAsia="ArialMT" w:hAnsi="Arial" w:cs="Arial"/>
        </w:rPr>
        <w:lastRenderedPageBreak/>
        <w:t>Los objetivos generales de la investigación es conocer cuáles son las principales tipología</w:t>
      </w:r>
      <w:r>
        <w:rPr>
          <w:rFonts w:ascii="Arial" w:eastAsia="ArialMT" w:hAnsi="Arial" w:cs="Arial"/>
        </w:rPr>
        <w:t>s</w:t>
      </w:r>
      <w:r w:rsidRPr="00AE5AE8">
        <w:rPr>
          <w:rFonts w:ascii="Arial" w:eastAsia="ArialMT" w:hAnsi="Arial" w:cs="Arial"/>
        </w:rPr>
        <w:t xml:space="preserve"> y fuentes de información que tributan a las políticas públicas.</w:t>
      </w:r>
    </w:p>
    <w:p w:rsidR="0051323C" w:rsidRDefault="0051323C" w:rsidP="005132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MT" w:hAnsi="Arial" w:cs="Arial"/>
        </w:rPr>
      </w:pPr>
    </w:p>
    <w:p w:rsidR="0051323C" w:rsidRDefault="00AE5AE8" w:rsidP="005132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AE5AE8">
        <w:rPr>
          <w:rFonts w:ascii="Arial" w:eastAsia="ArialMT" w:hAnsi="Arial" w:cs="Arial"/>
        </w:rPr>
        <w:t xml:space="preserve">Dentro de las principales tipologías encontramos a los estímulos positivos o negativos, de los cuales se distinguen varios tipos de cooperación, como lo son: espontánea, tradicional, contractual, dirigida, manipulada e impuesta. Así mismo podemos encontrar que las tipologías se pueden observar en dos categorías </w:t>
      </w:r>
      <w:r w:rsidRPr="00AE5AE8">
        <w:rPr>
          <w:rFonts w:ascii="Arial" w:eastAsia="Times New Roman" w:hAnsi="Arial" w:cs="Arial"/>
          <w:lang w:eastAsia="es-MX"/>
        </w:rPr>
        <w:t>"grandes cambios/consenso bajo" y "cambios menores/Consenso alto".</w:t>
      </w:r>
    </w:p>
    <w:p w:rsidR="0051323C" w:rsidRDefault="0051323C" w:rsidP="005132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BC01B8" w:rsidRDefault="00AE5AE8" w:rsidP="005132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AE5AE8">
        <w:rPr>
          <w:rFonts w:ascii="Arial" w:eastAsia="Times New Roman" w:hAnsi="Arial" w:cs="Arial"/>
          <w:lang w:eastAsia="es-MX"/>
        </w:rPr>
        <w:t>Ahora bien hablando de fuentes de información, encontramos dos tipos: documentos y personas.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AE5AE8">
        <w:rPr>
          <w:rFonts w:ascii="Arial" w:eastAsia="Times New Roman" w:hAnsi="Arial" w:cs="Arial"/>
          <w:lang w:eastAsia="es-MX"/>
        </w:rPr>
        <w:t>De ahí se parte cuatro clasificaciones</w:t>
      </w:r>
      <w:r>
        <w:rPr>
          <w:rFonts w:ascii="Arial" w:eastAsia="Times New Roman" w:hAnsi="Arial" w:cs="Arial"/>
          <w:lang w:eastAsia="es-MX"/>
        </w:rPr>
        <w:t>;</w:t>
      </w:r>
      <w:r w:rsidRPr="00AE5AE8">
        <w:rPr>
          <w:rFonts w:ascii="Arial" w:eastAsia="Times New Roman" w:hAnsi="Arial" w:cs="Arial"/>
          <w:lang w:eastAsia="es-MX"/>
        </w:rPr>
        <w:t xml:space="preserve"> las personas nos conducen a otras personas, las personas nos conducen a documentos, los documentos nos conducen a otros documentos y los documentos nos llevan a personas.</w:t>
      </w:r>
    </w:p>
    <w:p w:rsidR="00012284" w:rsidRDefault="00012284" w:rsidP="00BC01B8">
      <w:pPr>
        <w:spacing w:after="0" w:line="360" w:lineRule="auto"/>
        <w:ind w:firstLine="708"/>
        <w:jc w:val="both"/>
        <w:rPr>
          <w:rFonts w:ascii="Arial" w:eastAsia="ArialMT" w:hAnsi="Arial" w:cs="Arial"/>
        </w:rPr>
      </w:pPr>
    </w:p>
    <w:p w:rsidR="00BC01B8" w:rsidRDefault="00230742" w:rsidP="00BC01B8">
      <w:pPr>
        <w:spacing w:after="0" w:line="360" w:lineRule="auto"/>
        <w:ind w:firstLine="708"/>
        <w:jc w:val="both"/>
        <w:rPr>
          <w:rFonts w:ascii="Arial" w:eastAsia="ArialMT" w:hAnsi="Arial" w:cs="Arial"/>
        </w:rPr>
      </w:pPr>
      <w:r w:rsidRPr="0069470D">
        <w:rPr>
          <w:rFonts w:ascii="Arial" w:eastAsia="ArialMT" w:hAnsi="Arial" w:cs="Arial"/>
        </w:rPr>
        <w:t>Los tratadistas clasifican a la cooperación como resultado</w:t>
      </w:r>
      <w:r w:rsidR="00BC01B8">
        <w:rPr>
          <w:rFonts w:ascii="Arial" w:eastAsia="ArialMT" w:hAnsi="Arial" w:cs="Arial"/>
        </w:rPr>
        <w:t xml:space="preserve"> </w:t>
      </w:r>
      <w:r w:rsidRPr="0069470D">
        <w:rPr>
          <w:rFonts w:ascii="Arial" w:eastAsia="ArialMT" w:hAnsi="Arial" w:cs="Arial"/>
        </w:rPr>
        <w:t>de distintos estímulos positivos (recompensas) o negativos</w:t>
      </w:r>
      <w:r w:rsidR="00BC01B8">
        <w:rPr>
          <w:rFonts w:ascii="Arial" w:eastAsia="ArialMT" w:hAnsi="Arial" w:cs="Arial"/>
        </w:rPr>
        <w:t xml:space="preserve"> </w:t>
      </w:r>
      <w:r w:rsidRPr="0069470D">
        <w:rPr>
          <w:rFonts w:ascii="Arial" w:eastAsia="ArialMT" w:hAnsi="Arial" w:cs="Arial"/>
        </w:rPr>
        <w:t xml:space="preserve">(sanciones). Así, se distinguen </w:t>
      </w:r>
      <w:r w:rsidR="00BC01B8">
        <w:rPr>
          <w:rFonts w:ascii="Arial" w:eastAsia="ArialMT" w:hAnsi="Arial" w:cs="Arial"/>
        </w:rPr>
        <w:t xml:space="preserve">los siguientes </w:t>
      </w:r>
      <w:r w:rsidRPr="0069470D">
        <w:rPr>
          <w:rFonts w:ascii="Arial" w:eastAsia="ArialMT" w:hAnsi="Arial" w:cs="Arial"/>
        </w:rPr>
        <w:t>tipos de cooperación:</w:t>
      </w:r>
    </w:p>
    <w:p w:rsidR="00012284" w:rsidRDefault="00012284" w:rsidP="00BC01B8">
      <w:pPr>
        <w:spacing w:after="0" w:line="360" w:lineRule="auto"/>
        <w:ind w:firstLine="708"/>
        <w:jc w:val="both"/>
        <w:rPr>
          <w:rFonts w:ascii="Arial" w:eastAsia="ArialMT" w:hAnsi="Arial" w:cs="Arial"/>
        </w:rPr>
      </w:pPr>
    </w:p>
    <w:p w:rsidR="00BC01B8" w:rsidRDefault="00230742" w:rsidP="0069470D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BC01B8">
        <w:rPr>
          <w:rFonts w:ascii="Arial" w:eastAsia="Times New Roman" w:hAnsi="Arial" w:cs="Arial"/>
          <w:lang w:eastAsia="es-MX"/>
        </w:rPr>
        <w:t>La cooperación espontánea está orientada por el sentido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común; sin ser planeada, tampoco es casual. Tiene que ver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con productos transmitidos hereditaria y culturalmente. Sirve,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por ejemplo, al propósito de mantener en armonía una familia,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construir un “hogar” o reforzar la consolidación de un grupo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social más amplio. En otros casos, se puede manifestar en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ámbitos más amplios, por ejemplo, como cooperación ante la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inseguridad provocada por una amenaza natural, un siniestro, 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una fuerza dirigida a destruir la estabilidad o invadir el territorio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y en cualquier circunstancia que pueda representar un riesgo a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la subsistencia individual o colectiva.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BC01B8" w:rsidRDefault="00230742" w:rsidP="0069470D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BC01B8">
        <w:rPr>
          <w:rFonts w:ascii="Arial" w:eastAsia="Times New Roman" w:hAnsi="Arial" w:cs="Arial"/>
          <w:lang w:eastAsia="es-MX"/>
        </w:rPr>
        <w:t>La cooperación tradicional proviene de costumbres y mitos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fraguados en doctrinas religiosas o civiles cultivadas y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transmitidas sistemáticamente generación tras generación</w:t>
      </w:r>
      <w:r w:rsidR="00BC01B8">
        <w:rPr>
          <w:rStyle w:val="Refdenotaalpie"/>
          <w:rFonts w:ascii="Arial" w:eastAsia="Times New Roman" w:hAnsi="Arial" w:cs="Arial"/>
          <w:lang w:eastAsia="es-MX"/>
        </w:rPr>
        <w:footnoteReference w:id="1"/>
      </w:r>
      <w:r w:rsidRPr="00BC01B8">
        <w:rPr>
          <w:rFonts w:ascii="Arial" w:eastAsia="Times New Roman" w:hAnsi="Arial" w:cs="Arial"/>
          <w:lang w:eastAsia="es-MX"/>
        </w:rPr>
        <w:t>.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En cuanto a la sucesión y ejercicio del poder público se puede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 xml:space="preserve">nombrar el esquema de “usos y </w:t>
      </w:r>
      <w:r w:rsidRPr="00BC01B8">
        <w:rPr>
          <w:rFonts w:ascii="Arial" w:eastAsia="Times New Roman" w:hAnsi="Arial" w:cs="Arial"/>
          <w:lang w:eastAsia="es-MX"/>
        </w:rPr>
        <w:lastRenderedPageBreak/>
        <w:t>costumbres”</w:t>
      </w:r>
      <w:r w:rsidR="00BC01B8">
        <w:rPr>
          <w:rStyle w:val="Refdenotaalpie"/>
          <w:rFonts w:ascii="Arial" w:eastAsia="Times New Roman" w:hAnsi="Arial" w:cs="Arial"/>
          <w:lang w:eastAsia="es-MX"/>
        </w:rPr>
        <w:footnoteReference w:id="2"/>
      </w:r>
      <w:r w:rsidRPr="00BC01B8">
        <w:rPr>
          <w:rFonts w:ascii="Arial" w:eastAsia="Times New Roman" w:hAnsi="Arial" w:cs="Arial"/>
          <w:lang w:eastAsia="es-MX"/>
        </w:rPr>
        <w:t>. Este último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se sustenta, comúnmente, en reglas no escritas muchas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veces transformadas en rituales aceptados y practicados por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la mayoría, los cuales cíclicamente confirman su eficacia en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tanto no sean desafiados al grado de colocar en la picota a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los mandatos.</w:t>
      </w:r>
    </w:p>
    <w:p w:rsidR="005C42D2" w:rsidRPr="005C42D2" w:rsidRDefault="005C42D2" w:rsidP="005C42D2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C01B8" w:rsidRDefault="00230742" w:rsidP="0069470D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BC01B8">
        <w:rPr>
          <w:rFonts w:ascii="Arial" w:eastAsia="Times New Roman" w:hAnsi="Arial" w:cs="Arial"/>
          <w:lang w:eastAsia="es-MX"/>
        </w:rPr>
        <w:t>La cooperación contractual involucra acuerdos y compromisos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por escrito, así como obligaciones para quienes intervienen,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mismas que de no cumplirse, son objeto de sanciones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preestablecidas en los instrumentos legales. En la sociedad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contemporánea este modelo de cooperación es el más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extendido y el más exitoso al brindar a todos los protagonistas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aquello que se identifica con el nombre genérico de “seguridad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jurídica”. Esta seguridad se brinda a los individuos que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emprenden diversas acciones, ya sean de carácter privado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en las cuales la seguridad jurídica se orienta a proteger los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intereses individuales, social en las cuales dicha seguridad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protege las causas colectivas, o público (donde la seguridad</w:t>
      </w:r>
      <w:r w:rsidR="00BC01B8" w:rsidRPr="00BC01B8">
        <w:rPr>
          <w:rFonts w:ascii="Arial" w:eastAsia="Times New Roman" w:hAnsi="Arial" w:cs="Arial"/>
          <w:lang w:eastAsia="es-MX"/>
        </w:rPr>
        <w:t xml:space="preserve"> </w:t>
      </w:r>
      <w:r w:rsidRPr="00BC01B8">
        <w:rPr>
          <w:rFonts w:ascii="Arial" w:eastAsia="Times New Roman" w:hAnsi="Arial" w:cs="Arial"/>
          <w:lang w:eastAsia="es-MX"/>
        </w:rPr>
        <w:t>jurídica está destinada a proteger el interés general).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F635D3" w:rsidRDefault="00230742" w:rsidP="0051323C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>La cooperación dirigida tiene un sustento institucional. Está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creada para atender una o varias materias; tomar decisiones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estratégicas, funcionales, operativas, así como definir y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efectuar las acciones necesarias y suficientes, con el afán de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alcanzar sus cometidos. Todo ello, cabe mencionar, dentro de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un marco de acción formalmente diseñado y establecido. En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este tipo de cooperación encuentran cabida toda clase de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organizaciones y su propia denominación implica conjugar un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doble significado: “dirigir a (el grupo) para dirigirse hacia (el</w:t>
      </w:r>
      <w:r w:rsidR="00BC01B8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objetivo)”.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51323C" w:rsidRDefault="0051323C" w:rsidP="0051323C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 xml:space="preserve">La cooperación impuesta o manipulada por el poder público (diseñada y establecida en el marco legal u </w:t>
      </w:r>
      <w:proofErr w:type="gramStart"/>
      <w:r w:rsidRPr="00F635D3">
        <w:rPr>
          <w:rFonts w:ascii="Arial" w:eastAsia="Times New Roman" w:hAnsi="Arial" w:cs="Arial"/>
          <w:lang w:eastAsia="es-MX"/>
        </w:rPr>
        <w:t>obligada</w:t>
      </w:r>
      <w:proofErr w:type="gramEnd"/>
      <w:r w:rsidRPr="00F635D3">
        <w:rPr>
          <w:rFonts w:ascii="Arial" w:eastAsia="Times New Roman" w:hAnsi="Arial" w:cs="Arial"/>
          <w:lang w:eastAsia="es-MX"/>
        </w:rPr>
        <w:t xml:space="preserve"> por las circunstancias que rodean su desempeño) puede abarcar desde lo legítimo hasta lo delictivo. Es legítimo sancionar conductas intencionalmente alejadas de la racionalidad o con el ánimo de romper contratos, actuar en contra de alguien o infligir daños físicos, materiales o morales a otros. Para impedirlo, atenuarlo o castigarlo, el Estado cuenta con las posibilidades otorgadas por el Derecho Civil o Penal con el fin de </w:t>
      </w:r>
      <w:r w:rsidRPr="00F635D3">
        <w:rPr>
          <w:rFonts w:ascii="Arial" w:eastAsia="Times New Roman" w:hAnsi="Arial" w:cs="Arial"/>
          <w:lang w:eastAsia="es-MX"/>
        </w:rPr>
        <w:lastRenderedPageBreak/>
        <w:t>aplicarlo a todos los ciudadanos, o con el Derecho Administrativo pa</w:t>
      </w:r>
      <w:r w:rsidR="00F635D3" w:rsidRPr="00F635D3">
        <w:rPr>
          <w:rFonts w:ascii="Arial" w:eastAsia="Times New Roman" w:hAnsi="Arial" w:cs="Arial"/>
          <w:lang w:eastAsia="es-MX"/>
        </w:rPr>
        <w:t>ra aplicarlo al sector público.</w:t>
      </w:r>
    </w:p>
    <w:p w:rsidR="00F635D3" w:rsidRPr="00F635D3" w:rsidRDefault="00F635D3" w:rsidP="00F635D3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1323C" w:rsidRDefault="009F6647" w:rsidP="0051323C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51323C">
        <w:rPr>
          <w:rFonts w:ascii="Arial" w:eastAsia="Times New Roman" w:hAnsi="Arial" w:cs="Arial"/>
          <w:lang w:eastAsia="es-MX"/>
        </w:rPr>
        <w:t>No es sorprendente que la mayoría de las políticas se localicen en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las categorías "grandes cambios/consenso bajo" y "cambios menores/consenso alto". Los programas que requieren grandes cambios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ocasionan frecuentemente conflictos en torno a las metas por parte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de los actores principales, en tanto que el consenso en torno a las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metas suele ser muy alto cuando se exigen bajos niveles de cambio.</w:t>
      </w:r>
      <w:r w:rsid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Las políticas correspondientes a la categoría de agrandes cambios/consenso bajo" evolucionan en medio de prolongadas controversias.</w:t>
      </w:r>
    </w:p>
    <w:p w:rsidR="0051323C" w:rsidRDefault="0051323C" w:rsidP="0051323C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51323C" w:rsidRDefault="009F6647" w:rsidP="0051323C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51323C">
        <w:rPr>
          <w:rFonts w:ascii="Arial" w:eastAsia="Times New Roman" w:hAnsi="Arial" w:cs="Arial"/>
          <w:lang w:eastAsia="es-MX"/>
        </w:rPr>
        <w:t>Al desarrollar esta tipología de las políticas públicas estamos</w:t>
      </w:r>
      <w:r w:rsidR="0051323C" w:rsidRP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partiendo del supuesto de que la eficiencia de la implementación</w:t>
      </w:r>
      <w:r w:rsidR="0051323C" w:rsidRP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depende, parcialmente, del tipo de política en cuestión y de</w:t>
      </w:r>
      <w:r w:rsidR="0051323C" w:rsidRP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que los factores específicos que facilitan o impiden la realización de</w:t>
      </w:r>
      <w:r w:rsidR="0051323C" w:rsidRP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los objetivos de un programa suelen variar de un tipo de política a</w:t>
      </w:r>
      <w:r w:rsidR="0051323C" w:rsidRPr="0051323C">
        <w:rPr>
          <w:rFonts w:ascii="Arial" w:eastAsia="Times New Roman" w:hAnsi="Arial" w:cs="Arial"/>
          <w:lang w:eastAsia="es-MX"/>
        </w:rPr>
        <w:t xml:space="preserve"> </w:t>
      </w:r>
      <w:r w:rsidRPr="0051323C">
        <w:rPr>
          <w:rFonts w:ascii="Arial" w:eastAsia="Times New Roman" w:hAnsi="Arial" w:cs="Arial"/>
          <w:lang w:eastAsia="es-MX"/>
        </w:rPr>
        <w:t>ot</w:t>
      </w:r>
      <w:r w:rsidR="00F635D3">
        <w:rPr>
          <w:rFonts w:ascii="Arial" w:eastAsia="Times New Roman" w:hAnsi="Arial" w:cs="Arial"/>
          <w:lang w:eastAsia="es-MX"/>
        </w:rPr>
        <w:t>ro.</w:t>
      </w:r>
    </w:p>
    <w:p w:rsidR="0051323C" w:rsidRDefault="0051323C" w:rsidP="0051323C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950961" w:rsidRDefault="00426CF7" w:rsidP="00950961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69470D">
        <w:rPr>
          <w:rFonts w:ascii="Arial" w:eastAsia="Times New Roman" w:hAnsi="Arial" w:cs="Arial"/>
          <w:lang w:eastAsia="es-MX"/>
        </w:rPr>
        <w:t>En una investigación de políticas, casi todas las fuentes de información,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datos e ideas provienen generalmente de dos tipos de fuentes: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documentos y personas. Por "documentos" me refiero a cualquier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cosa que tenga que leerse: libros, artículos, periódicos, revistas,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informes gubernamentales, archivos estadísticos, memoranda, boletines,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etcétera. Por "personas" me refiero tanto a individuos como a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grupos. El medio más común de consultar este tipo de fuentes personales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es a través de pregun</w:t>
      </w:r>
      <w:r w:rsidR="00F635D3">
        <w:rPr>
          <w:rFonts w:ascii="Arial" w:eastAsia="Times New Roman" w:hAnsi="Arial" w:cs="Arial"/>
          <w:lang w:eastAsia="es-MX"/>
        </w:rPr>
        <w:t>tas y, desde luego, respuestas.</w:t>
      </w:r>
    </w:p>
    <w:p w:rsidR="00950961" w:rsidRDefault="00950961" w:rsidP="00950961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950961" w:rsidRDefault="00396CEB" w:rsidP="00950961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69470D">
        <w:rPr>
          <w:rFonts w:ascii="Arial" w:eastAsia="Times New Roman" w:hAnsi="Arial" w:cs="Arial"/>
          <w:lang w:eastAsia="es-MX"/>
        </w:rPr>
        <w:t>No obstante, en términos más generales es necesario recordar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que una fuente también debe utilizarse para localizar otra fuente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y que esta ampliación del acervo puede llevamos igualmente de un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medio a otro o de una fuente a otra del mismo medio. Más explícitamente,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las personas pueden conducirnos tanto a documentos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como a otras personas y lo mismo sucede con los documentos. De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ahí que podamos pensar que el árbol del conocimiento tiene cuatro</w:t>
      </w:r>
      <w:r w:rsidR="00950961">
        <w:rPr>
          <w:rFonts w:ascii="Arial" w:eastAsia="Times New Roman" w:hAnsi="Arial" w:cs="Arial"/>
          <w:lang w:eastAsia="es-MX"/>
        </w:rPr>
        <w:t xml:space="preserve"> </w:t>
      </w:r>
      <w:r w:rsidRPr="0069470D">
        <w:rPr>
          <w:rFonts w:ascii="Arial" w:eastAsia="Times New Roman" w:hAnsi="Arial" w:cs="Arial"/>
          <w:lang w:eastAsia="es-MX"/>
        </w:rPr>
        <w:t>ramas básicas, las cuales discutiremos una por una.</w:t>
      </w:r>
    </w:p>
    <w:p w:rsidR="00950961" w:rsidRDefault="00950961" w:rsidP="00950961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Pr="005C42D2" w:rsidRDefault="00950961" w:rsidP="005C42D2">
      <w:pPr>
        <w:pStyle w:val="Prrafodelista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 xml:space="preserve">Las personas nos conducen a otras personas: </w:t>
      </w:r>
      <w:r w:rsidR="00396CEB" w:rsidRPr="00F635D3">
        <w:rPr>
          <w:rFonts w:ascii="Arial" w:eastAsia="Times New Roman" w:hAnsi="Arial" w:cs="Arial"/>
          <w:lang w:eastAsia="es-MX"/>
        </w:rPr>
        <w:t>Con frecuencia, un informante nos conduce a otro espontáneamente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en el transcurso de la entrevista o conversación. "¿Ha visto usted a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X? Él sabe mucho sobre el tema... " Esta información puede ser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inducida por el propio investigador haciendo preguntas como: "¿Con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quién más podría yo hablar sobre este tema ... ? Podría incluso ser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usted más específico: "¿A quién podría consultar en la oficina u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lastRenderedPageBreak/>
        <w:t>organización Y?" Por una cuestión de tacto, el analista podría reestructurar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la pregunta de una manera más diplomática: "¿Cree usted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o no cree usted que sería aconsejable hablar con ... ? A veces es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una buena idea preguntarle explícitamente al informante si puede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usted utilizar su nombre para conseguir una entrevista con la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persona con quien le está sugiriendo hablar. Esto le da al entrevistado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la oportunidad de protegerse, si no desea que utilice su nombre,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o de animarlo a que lo utilice, si sirve a sus intereses. (Es decir, A tal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vez quiera que B sepa que A habló de él como de una persona "conocedora".)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Asegúrese de que su informante le proporcione por lo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menos la dirección o el teléfono de la persona que recomienda a fin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de que pueda usted localizarla.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F635D3" w:rsidRDefault="00950961" w:rsidP="0069470D">
      <w:pPr>
        <w:pStyle w:val="Prrafodelista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 xml:space="preserve">Las personas nos conducen a documentos: </w:t>
      </w:r>
      <w:r w:rsidR="00396CEB" w:rsidRPr="00F635D3">
        <w:rPr>
          <w:rFonts w:ascii="Arial" w:eastAsia="Times New Roman" w:hAnsi="Arial" w:cs="Arial"/>
          <w:lang w:eastAsia="es-MX"/>
        </w:rPr>
        <w:t>Así como el analista puede preguntarle a un informante a quién ver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o entrevistar, también puede preguntarle qué más puede leer y cómo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obtenerlo. Cuando visita a alguien en su oficina, puede usted obtener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indicios importantes de libros y autores o de nombres de personas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en esa organización simplemente observando los libreros y el escritorio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del entrevistado. Asimismo, acepte todos los documentos que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su entrevistado quiera darle, aunque no esté seguro de la importancia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que puedan tener para su investigación. Hay muchas probabilidades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de que usted consiga material nuevo e interesante para la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investigación que desarrollará y, de cualquier manera, esto podría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evitarle viajes a la librería en caso de que más adelante quisiera citar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algún documento o plasmar referencias bibliográficas precisas de</w:t>
      </w:r>
      <w:r w:rsidRPr="00F635D3">
        <w:rPr>
          <w:rFonts w:ascii="Arial" w:eastAsia="Times New Roman" w:hAnsi="Arial" w:cs="Arial"/>
          <w:lang w:eastAsia="es-MX"/>
        </w:rPr>
        <w:t xml:space="preserve"> </w:t>
      </w:r>
      <w:r w:rsidR="00396CEB" w:rsidRPr="00F635D3">
        <w:rPr>
          <w:rFonts w:ascii="Arial" w:eastAsia="Times New Roman" w:hAnsi="Arial" w:cs="Arial"/>
          <w:lang w:eastAsia="es-MX"/>
        </w:rPr>
        <w:t>ese material.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F635D3" w:rsidRDefault="00396CEB" w:rsidP="0069470D">
      <w:pPr>
        <w:pStyle w:val="Prrafodelista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 xml:space="preserve">Los </w:t>
      </w:r>
      <w:r w:rsidR="003B5DA4" w:rsidRPr="00F635D3">
        <w:rPr>
          <w:rFonts w:ascii="Arial" w:eastAsia="Times New Roman" w:hAnsi="Arial" w:cs="Arial"/>
          <w:lang w:eastAsia="es-MX"/>
        </w:rPr>
        <w:t xml:space="preserve">documentos nos conducen a otros documentos: </w:t>
      </w:r>
      <w:r w:rsidRPr="00F635D3">
        <w:rPr>
          <w:rFonts w:ascii="Arial" w:eastAsia="Times New Roman" w:hAnsi="Arial" w:cs="Arial"/>
          <w:lang w:eastAsia="es-MX"/>
        </w:rPr>
        <w:t>Quien quiera que alguna vez haya escrito un trabajo académico de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investigación en historia o en ciencias sociales probablemente haya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aprendido cómo utilizar un documento para encontrar otros a través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de las notas a pie de página o de las referencias bibliográficas. En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la investigación de políticas funciona el mismo procedimiento. Además,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frecuentemente se descubren referencias que están incompletas,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desde un punto de vista estrictamente académico, pero que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aún pueden ser útiles en la investigación de políticas. Se trata de las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referencias a agencias u organizaciones (o incluso individuos) que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tienen cierta responsabilidad o interés en el área de política de la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que se ocupa el analista. Incluso se puede esperar que alguna de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éstas financie estudios, reportes, artículos de opinión, etcétera, que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podrían resultar invaluables para el investigador. Desde luego,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puede darse el caso de que se requiera una gran inventiva para obtener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las direcciones. Afortunadamente, esto no es un problema para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 xml:space="preserve">la </w:t>
      </w:r>
      <w:r w:rsidRPr="00F635D3">
        <w:rPr>
          <w:rFonts w:ascii="Arial" w:eastAsia="Times New Roman" w:hAnsi="Arial" w:cs="Arial"/>
          <w:lang w:eastAsia="es-MX"/>
        </w:rPr>
        <w:lastRenderedPageBreak/>
        <w:t>mayoría de las organizaciones, las comisiones especiales encargadas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de realizar un estudio o grupos de trabajo, si se desempañan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bajo el auspicio público.</w:t>
      </w:r>
    </w:p>
    <w:p w:rsidR="005C42D2" w:rsidRDefault="005C42D2" w:rsidP="005C42D2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396CEB" w:rsidRPr="00F635D3" w:rsidRDefault="00396CEB" w:rsidP="0069470D">
      <w:pPr>
        <w:pStyle w:val="Prrafodelista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F635D3">
        <w:rPr>
          <w:rFonts w:ascii="Arial" w:eastAsia="Times New Roman" w:hAnsi="Arial" w:cs="Arial"/>
          <w:lang w:eastAsia="es-MX"/>
        </w:rPr>
        <w:t xml:space="preserve">Los </w:t>
      </w:r>
      <w:r w:rsidR="003B5DA4" w:rsidRPr="00F635D3">
        <w:rPr>
          <w:rFonts w:ascii="Arial" w:eastAsia="Times New Roman" w:hAnsi="Arial" w:cs="Arial"/>
          <w:lang w:eastAsia="es-MX"/>
        </w:rPr>
        <w:t xml:space="preserve">documentos nos llevan a personas: </w:t>
      </w:r>
      <w:r w:rsidRPr="00F635D3">
        <w:rPr>
          <w:rFonts w:ascii="Arial" w:eastAsia="Times New Roman" w:hAnsi="Arial" w:cs="Arial"/>
          <w:lang w:eastAsia="es-MX"/>
        </w:rPr>
        <w:t>Una vez que leemos sobre el trabajo que han realizado algunos</w:t>
      </w:r>
      <w:r w:rsidR="003B5DA4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expertos en el tema, académicos u otros, entonces el analista quizás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quiera hablar con ellos frente a frente o por teléfono. El analista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debe tener cuidado de no confundir al autor formal de un estudio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con el verdadero autor, sobre todo cuando el primero es una persona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o grupo de los círculos oficiales. Por poner un ejemplo extremo,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los autores formales de las decisiones de la Suprema Corte de Justicia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son los propios jueces; sin embargo, los verdaderos autores son, por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lo general, sus ayudantes, que seguramente estructuraron sus argumentos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basándose en los alegatos que hicieron los abogados sobre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el caso. De forma similar, uno debe buscar más allá del nombre del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funcionario que dirige la organización gubernamental donde se produjo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un informe, a fin de encontrar el nombre de los asesores que lo</w:t>
      </w:r>
      <w:r w:rsidR="00857C8B" w:rsidRPr="00F635D3">
        <w:rPr>
          <w:rFonts w:ascii="Arial" w:eastAsia="Times New Roman" w:hAnsi="Arial" w:cs="Arial"/>
          <w:lang w:eastAsia="es-MX"/>
        </w:rPr>
        <w:t xml:space="preserve"> </w:t>
      </w:r>
      <w:r w:rsidRPr="00F635D3">
        <w:rPr>
          <w:rFonts w:ascii="Arial" w:eastAsia="Times New Roman" w:hAnsi="Arial" w:cs="Arial"/>
          <w:lang w:eastAsia="es-MX"/>
        </w:rPr>
        <w:t>elaboraron.</w:t>
      </w:r>
    </w:p>
    <w:p w:rsidR="009F6647" w:rsidRDefault="009F6647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bookmarkStart w:id="0" w:name="_GoBack"/>
      <w:bookmarkEnd w:id="0"/>
    </w:p>
    <w:p w:rsidR="005C42D2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C42D2" w:rsidRPr="0069470D" w:rsidRDefault="005C42D2" w:rsidP="0069470D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9F6647" w:rsidRPr="0051323C" w:rsidRDefault="009F6647" w:rsidP="0069470D">
      <w:pPr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51323C">
        <w:rPr>
          <w:rFonts w:ascii="Arial" w:eastAsia="Times New Roman" w:hAnsi="Arial" w:cs="Arial"/>
          <w:b/>
          <w:lang w:eastAsia="es-MX"/>
        </w:rPr>
        <w:t>Bibliografía</w:t>
      </w:r>
    </w:p>
    <w:p w:rsidR="009F6647" w:rsidRPr="001C5BC1" w:rsidRDefault="009F6647" w:rsidP="001C5BC1">
      <w:pPr>
        <w:pStyle w:val="Prrafodelista"/>
        <w:numPr>
          <w:ilvl w:val="0"/>
          <w:numId w:val="19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1C5BC1">
        <w:rPr>
          <w:rFonts w:ascii="Arial" w:eastAsia="Times New Roman" w:hAnsi="Arial" w:cs="Arial"/>
          <w:lang w:eastAsia="es-MX"/>
        </w:rPr>
        <w:t xml:space="preserve">CASTELAZO, </w:t>
      </w:r>
      <w:r w:rsidR="00857C8B" w:rsidRPr="001C5BC1">
        <w:rPr>
          <w:rFonts w:ascii="Arial" w:eastAsia="Times New Roman" w:hAnsi="Arial" w:cs="Arial"/>
          <w:lang w:eastAsia="es-MX"/>
        </w:rPr>
        <w:t>José</w:t>
      </w:r>
      <w:r w:rsidRPr="001C5BC1">
        <w:rPr>
          <w:rFonts w:ascii="Arial" w:eastAsia="Times New Roman" w:hAnsi="Arial" w:cs="Arial"/>
          <w:lang w:eastAsia="es-MX"/>
        </w:rPr>
        <w:t xml:space="preserve">. </w:t>
      </w:r>
      <w:r w:rsidR="00857C8B" w:rsidRPr="001C5BC1">
        <w:rPr>
          <w:rFonts w:ascii="Arial" w:eastAsia="Times New Roman" w:hAnsi="Arial" w:cs="Arial"/>
          <w:lang w:eastAsia="es-MX"/>
        </w:rPr>
        <w:t>Administración</w:t>
      </w:r>
      <w:r w:rsidRPr="001C5BC1">
        <w:rPr>
          <w:rFonts w:ascii="Arial" w:eastAsia="Times New Roman" w:hAnsi="Arial" w:cs="Arial"/>
          <w:lang w:eastAsia="es-MX"/>
        </w:rPr>
        <w:t xml:space="preserve"> </w:t>
      </w:r>
      <w:r w:rsidR="00857C8B" w:rsidRPr="001C5BC1">
        <w:rPr>
          <w:rFonts w:ascii="Arial" w:eastAsia="Times New Roman" w:hAnsi="Arial" w:cs="Arial"/>
          <w:lang w:eastAsia="es-MX"/>
        </w:rPr>
        <w:t>Pública</w:t>
      </w:r>
      <w:r w:rsidRPr="001C5BC1">
        <w:rPr>
          <w:rFonts w:ascii="Arial" w:eastAsia="Times New Roman" w:hAnsi="Arial" w:cs="Arial"/>
          <w:lang w:eastAsia="es-MX"/>
        </w:rPr>
        <w:t xml:space="preserve">, Una </w:t>
      </w:r>
      <w:r w:rsidR="00857C8B" w:rsidRPr="001C5BC1">
        <w:rPr>
          <w:rFonts w:ascii="Arial" w:eastAsia="Times New Roman" w:hAnsi="Arial" w:cs="Arial"/>
          <w:lang w:eastAsia="es-MX"/>
        </w:rPr>
        <w:t>Visión</w:t>
      </w:r>
      <w:r w:rsidRPr="001C5BC1">
        <w:rPr>
          <w:rFonts w:ascii="Arial" w:eastAsia="Times New Roman" w:hAnsi="Arial" w:cs="Arial"/>
          <w:lang w:eastAsia="es-MX"/>
        </w:rPr>
        <w:t xml:space="preserve"> de Estado. 2007. Páginas 108-115.</w:t>
      </w:r>
    </w:p>
    <w:p w:rsidR="00426CF7" w:rsidRPr="001C5BC1" w:rsidRDefault="00426CF7" w:rsidP="001C5BC1">
      <w:pPr>
        <w:pStyle w:val="Prrafodelista"/>
        <w:numPr>
          <w:ilvl w:val="0"/>
          <w:numId w:val="19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1C5BC1">
        <w:rPr>
          <w:rFonts w:ascii="Arial" w:hAnsi="Arial" w:cs="Arial"/>
        </w:rPr>
        <w:t xml:space="preserve">AGUILAR, Villanueva Luis. La </w:t>
      </w:r>
      <w:r w:rsidR="00857C8B" w:rsidRPr="001C5BC1">
        <w:rPr>
          <w:rFonts w:ascii="Arial" w:hAnsi="Arial" w:cs="Arial"/>
        </w:rPr>
        <w:t>Implementación</w:t>
      </w:r>
      <w:r w:rsidRPr="001C5BC1">
        <w:rPr>
          <w:rFonts w:ascii="Arial" w:hAnsi="Arial" w:cs="Arial"/>
        </w:rPr>
        <w:t xml:space="preserve"> de las </w:t>
      </w:r>
      <w:r w:rsidR="00857C8B" w:rsidRPr="001C5BC1">
        <w:rPr>
          <w:rFonts w:ascii="Arial" w:hAnsi="Arial" w:cs="Arial"/>
        </w:rPr>
        <w:t>Políticas</w:t>
      </w:r>
      <w:r w:rsidRPr="001C5BC1">
        <w:rPr>
          <w:rFonts w:ascii="Arial" w:hAnsi="Arial" w:cs="Arial"/>
        </w:rPr>
        <w:t xml:space="preserve">. 1993. </w:t>
      </w:r>
      <w:r w:rsidR="00857C8B" w:rsidRPr="001C5BC1">
        <w:rPr>
          <w:rFonts w:ascii="Arial" w:hAnsi="Arial" w:cs="Arial"/>
        </w:rPr>
        <w:t>Páginas</w:t>
      </w:r>
      <w:r w:rsidRPr="001C5BC1">
        <w:rPr>
          <w:rFonts w:ascii="Arial" w:hAnsi="Arial" w:cs="Arial"/>
        </w:rPr>
        <w:t xml:space="preserve"> 114-116.</w:t>
      </w:r>
    </w:p>
    <w:p w:rsidR="009F6647" w:rsidRPr="001C5BC1" w:rsidRDefault="00426CF7" w:rsidP="001C5BC1">
      <w:pPr>
        <w:pStyle w:val="Prrafodelista"/>
        <w:numPr>
          <w:ilvl w:val="0"/>
          <w:numId w:val="19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1C5BC1">
        <w:rPr>
          <w:rFonts w:ascii="Arial" w:hAnsi="Arial" w:cs="Arial"/>
        </w:rPr>
        <w:t xml:space="preserve">BARDACH, </w:t>
      </w:r>
      <w:r w:rsidR="00396CEB" w:rsidRPr="001C5BC1">
        <w:rPr>
          <w:rFonts w:ascii="Arial" w:hAnsi="Arial" w:cs="Arial"/>
        </w:rPr>
        <w:t xml:space="preserve">Eugene. Los ocho pasos para el análisis de las Políticas Públicas, Un manual para la práctica. 1998. </w:t>
      </w:r>
      <w:r w:rsidR="00857C8B" w:rsidRPr="001C5BC1">
        <w:rPr>
          <w:rFonts w:ascii="Arial" w:hAnsi="Arial" w:cs="Arial"/>
        </w:rPr>
        <w:t>Páginas</w:t>
      </w:r>
      <w:r w:rsidR="00396CEB" w:rsidRPr="001C5BC1">
        <w:rPr>
          <w:rFonts w:ascii="Arial" w:hAnsi="Arial" w:cs="Arial"/>
        </w:rPr>
        <w:t xml:space="preserve"> 102-107</w:t>
      </w:r>
      <w:r w:rsidR="0069470D" w:rsidRPr="001C5BC1">
        <w:rPr>
          <w:rFonts w:ascii="Arial" w:hAnsi="Arial" w:cs="Arial"/>
        </w:rPr>
        <w:t>.</w:t>
      </w:r>
    </w:p>
    <w:sectPr w:rsidR="009F6647" w:rsidRPr="001C5BC1" w:rsidSect="00950961">
      <w:footerReference w:type="default" r:id="rId10"/>
      <w:pgSz w:w="12240" w:h="15840" w:code="1"/>
      <w:pgMar w:top="1418" w:right="1418" w:bottom="1418" w:left="1418" w:header="709" w:footer="709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2A" w:rsidRDefault="0017432A">
      <w:pPr>
        <w:spacing w:after="0" w:line="240" w:lineRule="auto"/>
      </w:pPr>
      <w:r>
        <w:separator/>
      </w:r>
    </w:p>
  </w:endnote>
  <w:endnote w:type="continuationSeparator" w:id="0">
    <w:p w:rsidR="0017432A" w:rsidRDefault="0017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1D1" w:rsidRDefault="0017432A">
    <w:pPr>
      <w:ind w:right="260"/>
      <w:rPr>
        <w:color w:val="0F243E" w:themeColor="text2" w:themeShade="80"/>
        <w:sz w:val="26"/>
        <w:szCs w:val="26"/>
      </w:rPr>
    </w:pPr>
  </w:p>
  <w:p w:rsidR="000B5867" w:rsidRDefault="00174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2A" w:rsidRDefault="0017432A">
      <w:pPr>
        <w:spacing w:after="0" w:line="240" w:lineRule="auto"/>
      </w:pPr>
      <w:r>
        <w:separator/>
      </w:r>
    </w:p>
  </w:footnote>
  <w:footnote w:type="continuationSeparator" w:id="0">
    <w:p w:rsidR="0017432A" w:rsidRDefault="0017432A">
      <w:pPr>
        <w:spacing w:after="0" w:line="240" w:lineRule="auto"/>
      </w:pPr>
      <w:r>
        <w:continuationSeparator/>
      </w:r>
    </w:p>
  </w:footnote>
  <w:footnote w:id="1">
    <w:p w:rsidR="00BC01B8" w:rsidRPr="00012284" w:rsidRDefault="00BC01B8" w:rsidP="0001228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16"/>
          <w:szCs w:val="16"/>
        </w:rPr>
      </w:pPr>
      <w:r>
        <w:rPr>
          <w:rStyle w:val="Refdenotaalpie"/>
        </w:rPr>
        <w:footnoteRef/>
      </w:r>
      <w:r w:rsidR="00012284">
        <w:t xml:space="preserve"> </w:t>
      </w:r>
      <w:r w:rsidR="00012284" w:rsidRPr="0051323C">
        <w:rPr>
          <w:rFonts w:ascii="Arial" w:eastAsia="ArialMT" w:hAnsi="Arial" w:cs="Arial"/>
          <w:sz w:val="16"/>
          <w:szCs w:val="16"/>
        </w:rPr>
        <w:t xml:space="preserve">En la introducción del libro </w:t>
      </w:r>
      <w:r w:rsidR="00012284" w:rsidRPr="0051323C">
        <w:rPr>
          <w:rFonts w:ascii="Arial" w:eastAsia="ArialMT" w:hAnsi="Arial" w:cs="Arial"/>
          <w:bCs/>
          <w:sz w:val="16"/>
          <w:szCs w:val="16"/>
        </w:rPr>
        <w:t xml:space="preserve">The Politics of the Developing Areas </w:t>
      </w:r>
      <w:r w:rsidR="00012284" w:rsidRPr="0051323C">
        <w:rPr>
          <w:rFonts w:ascii="Arial" w:eastAsia="ArialMT" w:hAnsi="Arial" w:cs="Arial"/>
          <w:sz w:val="16"/>
          <w:szCs w:val="16"/>
        </w:rPr>
        <w:t xml:space="preserve">(Gabriel A. Almond y James S. Coleman (eds.), Princeton University Press, 1959) se explica la importancia de la </w:t>
      </w:r>
      <w:r w:rsidR="00012284" w:rsidRPr="0051323C">
        <w:rPr>
          <w:rFonts w:ascii="Arial" w:eastAsia="ArialMT" w:hAnsi="Arial" w:cs="Arial"/>
          <w:i/>
          <w:iCs/>
          <w:sz w:val="16"/>
          <w:szCs w:val="16"/>
        </w:rPr>
        <w:t xml:space="preserve">cooperación tradicional </w:t>
      </w:r>
      <w:r w:rsidR="00012284" w:rsidRPr="0051323C">
        <w:rPr>
          <w:rFonts w:ascii="Arial" w:eastAsia="ArialMT" w:hAnsi="Arial" w:cs="Arial"/>
          <w:sz w:val="16"/>
          <w:szCs w:val="16"/>
        </w:rPr>
        <w:t>para el sistema político, pp. 3–64.</w:t>
      </w:r>
    </w:p>
  </w:footnote>
  <w:footnote w:id="2">
    <w:p w:rsidR="00012284" w:rsidRPr="00012284" w:rsidRDefault="00BC01B8" w:rsidP="0001228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16"/>
          <w:szCs w:val="16"/>
        </w:rPr>
      </w:pPr>
      <w:r>
        <w:rPr>
          <w:rStyle w:val="Refdenotaalpie"/>
        </w:rPr>
        <w:footnoteRef/>
      </w:r>
      <w:r>
        <w:t xml:space="preserve"> </w:t>
      </w:r>
      <w:r w:rsidR="00012284" w:rsidRPr="0051323C">
        <w:rPr>
          <w:rFonts w:ascii="Arial" w:eastAsia="ArialMT" w:hAnsi="Arial" w:cs="Arial"/>
          <w:sz w:val="16"/>
          <w:szCs w:val="16"/>
        </w:rPr>
        <w:t xml:space="preserve">Un ejemplo de ello lo podemos encontrar en la </w:t>
      </w:r>
      <w:r w:rsidR="00012284" w:rsidRPr="0051323C">
        <w:rPr>
          <w:rFonts w:ascii="Arial" w:eastAsia="ArialMT" w:hAnsi="Arial" w:cs="Arial"/>
          <w:bCs/>
          <w:sz w:val="16"/>
          <w:szCs w:val="16"/>
        </w:rPr>
        <w:t>Constitución Política del Estado libre y soberano de Oaxaca</w:t>
      </w:r>
      <w:r w:rsidR="00012284" w:rsidRPr="0051323C">
        <w:rPr>
          <w:rFonts w:ascii="Arial" w:eastAsia="ArialMT" w:hAnsi="Arial" w:cs="Arial"/>
          <w:sz w:val="16"/>
          <w:szCs w:val="16"/>
        </w:rPr>
        <w:t>, México, en la cual se considera para las elecciones de las comunidades indígenas el formato de usos y costumbres, protegiendo las tradiciones y prácticas democráticas utilizadas por las mismas. Arts. 24 (último párrafo), 29, 98 y 138 Bis A, preceptos vigentes.</w:t>
      </w:r>
    </w:p>
    <w:p w:rsidR="00BC01B8" w:rsidRDefault="00BC01B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232"/>
    <w:multiLevelType w:val="hybridMultilevel"/>
    <w:tmpl w:val="C374B9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C4C"/>
    <w:multiLevelType w:val="hybridMultilevel"/>
    <w:tmpl w:val="AB0A2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2C29"/>
    <w:multiLevelType w:val="multilevel"/>
    <w:tmpl w:val="9A48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40FEC"/>
    <w:multiLevelType w:val="hybridMultilevel"/>
    <w:tmpl w:val="F732F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19D8"/>
    <w:multiLevelType w:val="hybridMultilevel"/>
    <w:tmpl w:val="6EF05F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83E1F"/>
    <w:multiLevelType w:val="hybridMultilevel"/>
    <w:tmpl w:val="CBA63A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B310A"/>
    <w:multiLevelType w:val="multilevel"/>
    <w:tmpl w:val="F66C10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AD4B4C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030444"/>
    <w:multiLevelType w:val="hybridMultilevel"/>
    <w:tmpl w:val="C6F43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41890"/>
    <w:multiLevelType w:val="multilevel"/>
    <w:tmpl w:val="13D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C745D"/>
    <w:multiLevelType w:val="multilevel"/>
    <w:tmpl w:val="BC1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081D10"/>
    <w:multiLevelType w:val="hybridMultilevel"/>
    <w:tmpl w:val="4D0C18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51ACD"/>
    <w:multiLevelType w:val="hybridMultilevel"/>
    <w:tmpl w:val="B796A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443F0"/>
    <w:multiLevelType w:val="hybridMultilevel"/>
    <w:tmpl w:val="3292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33957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DB5CD2"/>
    <w:multiLevelType w:val="multilevel"/>
    <w:tmpl w:val="5F84D0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647E9"/>
    <w:multiLevelType w:val="multilevel"/>
    <w:tmpl w:val="E672474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AF04B1"/>
    <w:multiLevelType w:val="multilevel"/>
    <w:tmpl w:val="5114D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FA6D4B"/>
    <w:multiLevelType w:val="hybridMultilevel"/>
    <w:tmpl w:val="37A070DE"/>
    <w:lvl w:ilvl="0" w:tplc="4EEC4B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17"/>
  </w:num>
  <w:num w:numId="7">
    <w:abstractNumId w:val="9"/>
  </w:num>
  <w:num w:numId="8">
    <w:abstractNumId w:val="2"/>
  </w:num>
  <w:num w:numId="9">
    <w:abstractNumId w:val="8"/>
  </w:num>
  <w:num w:numId="10">
    <w:abstractNumId w:val="13"/>
  </w:num>
  <w:num w:numId="11">
    <w:abstractNumId w:val="15"/>
  </w:num>
  <w:num w:numId="12">
    <w:abstractNumId w:val="7"/>
  </w:num>
  <w:num w:numId="13">
    <w:abstractNumId w:val="14"/>
  </w:num>
  <w:num w:numId="14">
    <w:abstractNumId w:val="6"/>
  </w:num>
  <w:num w:numId="15">
    <w:abstractNumId w:val="16"/>
  </w:num>
  <w:num w:numId="16">
    <w:abstractNumId w:val="18"/>
  </w:num>
  <w:num w:numId="17">
    <w:abstractNumId w:val="11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5B"/>
    <w:rsid w:val="00004CEF"/>
    <w:rsid w:val="00012284"/>
    <w:rsid w:val="0017432A"/>
    <w:rsid w:val="001C5BC1"/>
    <w:rsid w:val="00230742"/>
    <w:rsid w:val="003118C5"/>
    <w:rsid w:val="00396CEB"/>
    <w:rsid w:val="003B5DA4"/>
    <w:rsid w:val="00426CF7"/>
    <w:rsid w:val="004D421B"/>
    <w:rsid w:val="0051323C"/>
    <w:rsid w:val="005C42D2"/>
    <w:rsid w:val="005F5AAC"/>
    <w:rsid w:val="00607010"/>
    <w:rsid w:val="0069470D"/>
    <w:rsid w:val="007445A6"/>
    <w:rsid w:val="00857C8B"/>
    <w:rsid w:val="008B115B"/>
    <w:rsid w:val="008F6BF9"/>
    <w:rsid w:val="00900F5C"/>
    <w:rsid w:val="009267F9"/>
    <w:rsid w:val="00950961"/>
    <w:rsid w:val="009B01BA"/>
    <w:rsid w:val="009F6647"/>
    <w:rsid w:val="00A804E5"/>
    <w:rsid w:val="00AE2F48"/>
    <w:rsid w:val="00AE5AE8"/>
    <w:rsid w:val="00B7764E"/>
    <w:rsid w:val="00BC01B8"/>
    <w:rsid w:val="00E2605D"/>
    <w:rsid w:val="00EA5C78"/>
    <w:rsid w:val="00F635D3"/>
    <w:rsid w:val="00F66F26"/>
    <w:rsid w:val="00FB5D2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C01B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C01B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C01B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01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01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01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C01B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C01B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C01B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01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01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01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18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9784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488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1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1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780642368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39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402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35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2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77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976884894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6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7314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73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12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7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525824861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CA53-F0C7-4112-A59F-7A68F7D1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1675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marcos</dc:creator>
  <cp:keywords/>
  <dc:description/>
  <cp:lastModifiedBy>Marcos</cp:lastModifiedBy>
  <cp:revision>195</cp:revision>
  <dcterms:created xsi:type="dcterms:W3CDTF">2015-04-24T18:51:00Z</dcterms:created>
  <dcterms:modified xsi:type="dcterms:W3CDTF">2015-05-03T18:16:00Z</dcterms:modified>
</cp:coreProperties>
</file>