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B8" w:rsidRPr="00473260" w:rsidRDefault="00CD02B8" w:rsidP="00CD02B8">
      <w:pPr>
        <w:spacing w:after="0" w:line="240" w:lineRule="auto"/>
        <w:rPr>
          <w:rFonts w:ascii="Arial" w:hAnsi="Arial" w:cs="Arial"/>
          <w:b/>
          <w:sz w:val="28"/>
        </w:rPr>
      </w:pPr>
      <w:r w:rsidRPr="00473260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25E981D" wp14:editId="41FE7012">
            <wp:simplePos x="0" y="0"/>
            <wp:positionH relativeFrom="column">
              <wp:posOffset>1270</wp:posOffset>
            </wp:positionH>
            <wp:positionV relativeFrom="paragraph">
              <wp:posOffset>-176530</wp:posOffset>
            </wp:positionV>
            <wp:extent cx="711200" cy="831850"/>
            <wp:effectExtent l="0" t="0" r="0" b="0"/>
            <wp:wrapNone/>
            <wp:docPr id="7" name="Imagen 7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8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02B8" w:rsidRPr="00473260" w:rsidRDefault="00CD02B8" w:rsidP="00CD02B8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473260">
        <w:rPr>
          <w:rFonts w:ascii="Arial" w:hAnsi="Arial" w:cs="Arial"/>
          <w:b/>
          <w:sz w:val="28"/>
        </w:rPr>
        <w:t>INSTITUTO DE ADMINISTRACIÓN PÚBLICA</w:t>
      </w:r>
    </w:p>
    <w:p w:rsidR="00CD02B8" w:rsidRPr="00473260" w:rsidRDefault="00CD02B8" w:rsidP="00CD02B8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473260">
        <w:rPr>
          <w:rFonts w:ascii="Arial" w:hAnsi="Arial" w:cs="Arial"/>
          <w:b/>
          <w:sz w:val="28"/>
        </w:rPr>
        <w:t>DEL ESTADO DE CHIAPAS, A. C.</w:t>
      </w: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sz w:val="28"/>
        </w:rPr>
      </w:pPr>
      <w:r w:rsidRPr="00473260">
        <w:rPr>
          <w:rFonts w:ascii="Arial" w:hAnsi="Arial" w:cs="Arial"/>
          <w:sz w:val="28"/>
        </w:rPr>
        <w:t>Maestría en</w:t>
      </w: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b/>
          <w:sz w:val="28"/>
        </w:rPr>
      </w:pPr>
      <w:r w:rsidRPr="00473260">
        <w:rPr>
          <w:rFonts w:ascii="Arial" w:hAnsi="Arial" w:cs="Arial"/>
          <w:b/>
          <w:sz w:val="28"/>
        </w:rPr>
        <w:t>Administración y Políticas Públicas</w:t>
      </w: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sz w:val="28"/>
        </w:rPr>
      </w:pPr>
      <w:r w:rsidRPr="00473260">
        <w:rPr>
          <w:rFonts w:ascii="Arial" w:hAnsi="Arial" w:cs="Arial"/>
          <w:sz w:val="28"/>
        </w:rPr>
        <w:t>Módulo:</w:t>
      </w: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Fundamentos Jurídicos de la Administración Pública.</w:t>
      </w: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sz w:val="28"/>
        </w:rPr>
      </w:pPr>
      <w:r w:rsidRPr="00473260">
        <w:rPr>
          <w:rFonts w:ascii="Arial" w:hAnsi="Arial" w:cs="Arial"/>
          <w:sz w:val="28"/>
        </w:rPr>
        <w:t>Docente:</w:t>
      </w: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b/>
          <w:sz w:val="28"/>
        </w:rPr>
      </w:pPr>
      <w:r w:rsidRPr="00473260">
        <w:rPr>
          <w:rFonts w:ascii="Arial" w:hAnsi="Arial" w:cs="Arial"/>
          <w:b/>
          <w:sz w:val="28"/>
        </w:rPr>
        <w:t>Dr</w:t>
      </w:r>
      <w:r>
        <w:rPr>
          <w:rFonts w:ascii="Arial" w:hAnsi="Arial" w:cs="Arial"/>
          <w:b/>
          <w:sz w:val="28"/>
        </w:rPr>
        <w:t>a</w:t>
      </w:r>
      <w:r w:rsidRPr="00473260">
        <w:rPr>
          <w:rFonts w:ascii="Arial" w:hAnsi="Arial" w:cs="Arial"/>
          <w:b/>
          <w:sz w:val="28"/>
        </w:rPr>
        <w:t xml:space="preserve">. </w:t>
      </w:r>
      <w:r>
        <w:rPr>
          <w:rFonts w:ascii="Arial" w:hAnsi="Arial" w:cs="Arial"/>
          <w:b/>
          <w:sz w:val="28"/>
        </w:rPr>
        <w:t>Luci Gpe. Alfonso Ontiveros</w:t>
      </w: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sz w:val="28"/>
        </w:rPr>
      </w:pPr>
      <w:r w:rsidRPr="00473260">
        <w:rPr>
          <w:rFonts w:ascii="Arial" w:hAnsi="Arial" w:cs="Arial"/>
          <w:sz w:val="28"/>
        </w:rPr>
        <w:t xml:space="preserve">Actividad número </w:t>
      </w:r>
      <w:r w:rsidR="002E6624">
        <w:rPr>
          <w:rFonts w:ascii="Arial" w:hAnsi="Arial" w:cs="Arial"/>
          <w:sz w:val="28"/>
        </w:rPr>
        <w:t>5</w:t>
      </w:r>
      <w:bookmarkStart w:id="0" w:name="_GoBack"/>
      <w:bookmarkEnd w:id="0"/>
      <w:r w:rsidRPr="00473260">
        <w:rPr>
          <w:rFonts w:ascii="Arial" w:hAnsi="Arial" w:cs="Arial"/>
          <w:sz w:val="28"/>
        </w:rPr>
        <w:t>:</w:t>
      </w:r>
    </w:p>
    <w:p w:rsidR="00CD02B8" w:rsidRPr="00473260" w:rsidRDefault="003C42D9" w:rsidP="00CD02B8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Ensayo.</w:t>
      </w: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sz w:val="28"/>
        </w:rPr>
      </w:pPr>
      <w:r w:rsidRPr="00473260">
        <w:rPr>
          <w:rFonts w:ascii="Arial" w:hAnsi="Arial" w:cs="Arial"/>
          <w:sz w:val="28"/>
        </w:rPr>
        <w:t>Alumno:</w:t>
      </w: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Santiago Oscar Castillo Calderón</w:t>
      </w:r>
    </w:p>
    <w:p w:rsidR="00CD02B8" w:rsidRPr="00473260" w:rsidRDefault="00CD02B8" w:rsidP="00CD02B8">
      <w:pPr>
        <w:spacing w:after="0"/>
        <w:jc w:val="center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473260" w:rsidRDefault="00CD02B8" w:rsidP="00CD02B8">
      <w:pPr>
        <w:spacing w:after="0"/>
        <w:jc w:val="both"/>
        <w:rPr>
          <w:rFonts w:ascii="Arial" w:hAnsi="Arial" w:cs="Arial"/>
          <w:b/>
          <w:sz w:val="28"/>
        </w:rPr>
      </w:pPr>
    </w:p>
    <w:p w:rsidR="00CD02B8" w:rsidRPr="00E5764D" w:rsidRDefault="00CD02B8" w:rsidP="00E5764D">
      <w:pPr>
        <w:jc w:val="right"/>
        <w:rPr>
          <w:rFonts w:ascii="Arial" w:hAnsi="Arial" w:cs="Arial"/>
        </w:rPr>
      </w:pPr>
      <w:r w:rsidRPr="00473260">
        <w:rPr>
          <w:rFonts w:ascii="Arial" w:hAnsi="Arial" w:cs="Arial"/>
        </w:rPr>
        <w:t xml:space="preserve">Tapachula de Córdova y Ordoñez, Chiapas; </w:t>
      </w:r>
      <w:r>
        <w:rPr>
          <w:rFonts w:ascii="Arial" w:hAnsi="Arial" w:cs="Arial"/>
        </w:rPr>
        <w:t>1</w:t>
      </w:r>
      <w:r w:rsidR="004C3740">
        <w:rPr>
          <w:rFonts w:ascii="Arial" w:hAnsi="Arial" w:cs="Arial"/>
        </w:rPr>
        <w:t>7</w:t>
      </w:r>
      <w:r w:rsidRPr="0047326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Enero d</w:t>
      </w:r>
      <w:r w:rsidRPr="00473260">
        <w:rPr>
          <w:rFonts w:ascii="Arial" w:hAnsi="Arial" w:cs="Arial"/>
        </w:rPr>
        <w:t>e 201</w:t>
      </w:r>
      <w:r>
        <w:rPr>
          <w:rFonts w:ascii="Arial" w:hAnsi="Arial" w:cs="Arial"/>
        </w:rPr>
        <w:t>5</w: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E4FA7" wp14:editId="61527695">
                <wp:simplePos x="0" y="0"/>
                <wp:positionH relativeFrom="column">
                  <wp:posOffset>5651445</wp:posOffset>
                </wp:positionH>
                <wp:positionV relativeFrom="paragraph">
                  <wp:posOffset>566172</wp:posOffset>
                </wp:positionV>
                <wp:extent cx="119269" cy="119269"/>
                <wp:effectExtent l="0" t="0" r="14605" b="1460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9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445pt;margin-top:44.6pt;width:9.4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" fillcolor="white [3212]" strokecolor="white [3212]" strokeweight="2pt"/>
            </w:pict>
          </mc:Fallback>
        </mc:AlternateContent>
      </w:r>
    </w:p>
    <w:p w:rsidR="00DF303B" w:rsidRPr="004C3740" w:rsidRDefault="004C3740" w:rsidP="00BE21B9">
      <w:pPr>
        <w:shd w:val="clear" w:color="auto" w:fill="FFFFFF"/>
        <w:spacing w:line="451" w:lineRule="atLeast"/>
        <w:ind w:left="708" w:firstLine="708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</w:pPr>
      <w:r w:rsidRPr="004C3740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  <w:lastRenderedPageBreak/>
        <w:t>LEY ORGANICA DE LA ADMINISTRACION PÚBLICA.</w:t>
      </w:r>
    </w:p>
    <w:p w:rsidR="00DF303B" w:rsidRDefault="00DF303B" w:rsidP="00DF303B">
      <w:pPr>
        <w:shd w:val="clear" w:color="auto" w:fill="FFFFFF"/>
        <w:spacing w:line="451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4C3740" w:rsidRDefault="00DF303B" w:rsidP="00DF303B">
      <w:pPr>
        <w:shd w:val="clear" w:color="auto" w:fill="FFFFFF"/>
        <w:spacing w:line="451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Artículo 1o.- La 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presente 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Ley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establece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las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bases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organizaci</w:t>
      </w:r>
      <w:r w:rsidR="00E5764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ón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E5764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E5764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 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Administración Pública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Federal, centralizada y paraestatal.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La 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Oficina 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Presidencia 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República,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las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Secretarías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Esta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do y la Consejería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Jurídica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del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Ejecutivo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Federal,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integran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Administración 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Pública Centralizada.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Los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organismos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descentralizados,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las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empresas 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participación 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estatal, las instituciones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nacionales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crédito,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las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organizaciones auxiliares nacionales de crédito,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las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instituciones 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nacionales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4F099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seguros y de fianzas y los fideicomisos, componen la administración pública paraes</w:t>
      </w:r>
      <w:r w:rsidR="00BE21B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tatal.</w:t>
      </w:r>
      <w:r w:rsidR="00BE21B9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="00BE21B9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="00BE21B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                </w:t>
      </w:r>
      <w:r w:rsidRPr="004C374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ORGANISMOS Y EMPRESAS DEL GOBIERNO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ACADEMIA MEXICANA DE DERECHOS HUMANOS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AEROPUERTOS Y SERVICIOS AUXILIARES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AGENCIA FEDERAL DE INVESTIGACION </w:t>
      </w:r>
      <w:r w:rsidR="004C37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AGENCIA MEXICANA DE NOTICIAS </w:t>
      </w:r>
      <w:r w:rsidR="004C37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APOYOS Y SERVICIOS A LA COMERCIALIZACION AGROPECUARIA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ARCHIVO GENERAL DE LA NACION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AUDITORIA SUPERIOR DE LA FEDERACION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BANCO DE MEXICO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BANCO DEL AHORRO NACIONAL Y SERVICIOS FINANCIEROS, S.N.C.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BANCO NACIONAL DE COMERCIO EXTERIOR, S.N.C.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BANCO NACIONAL DE OBRAS Y SERVICIOS PUBLICOS, S.N.C.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BANCO NACIONAL DEL EJERCITO, FUERZA AEREA Y ARMADA, S.N.C.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CAMINOS Y PUENTES FEDERALES DE INGRESOS Y SERVICIOS CONEXOS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CASA DE MONEDA DE MEXICO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CENTRO NACIONAL PARA LA PREVENCION Y CONTROL DEL VIH/SIDA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CENTROS DE INTEGRACION JUVENIL, A.C.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CINETECA NACIONAL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FEDERAL DE COMPETENCIA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FEDERAL DE ELECTRICIDAD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</w:t>
      </w:r>
      <w:r w:rsidR="00BE21B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FEDERAL DE TELECOMUNICACIONES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BANCARIA Y DE VALORES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DE ARBITRAJE MEDICO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DE DERECHOS HUMANOS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DE</w:t>
      </w:r>
      <w:r w:rsidR="00BE21B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FOMENTO A LA VIVIENDA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DE LOS LIBROS DE TEXTO GRATUITOS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DE SEGUROS Y FIANZAS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DE ZONAS ARIDAS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DEL AGUA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DEL DEPORTE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DEL SISTEMA DE AHORRO PARA EL RETIRO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PARA EL AHORRO DE ENERGIA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PARA LA PRESERVACION DEL PATRIMONIO CULTURAL</w:t>
      </w:r>
      <w:r w:rsidR="004C37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PARA LA PROTECCION Y DEFENSA DE LOS USUARIOS DE SERVICIOS FINANCIEROS</w:t>
      </w:r>
      <w:r w:rsidR="004C37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NACIONAL PARA LOS PUEBLOS INDIGENAS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COMISION PARA LA REGULARIZACION DE LA TENENCIA DE LA TIERRA </w:t>
      </w:r>
    </w:p>
    <w:p w:rsidR="00E3790F" w:rsidRDefault="00DF303B" w:rsidP="00DF303B">
      <w:pPr>
        <w:shd w:val="clear" w:color="auto" w:fill="FFFFFF"/>
        <w:spacing w:line="451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br/>
        <w:t>COMITE ADMINISTRADOR DEL PROGRAMA FEDERAL DE CONSTRUCCION DE ESCUELAS</w:t>
      </w:r>
      <w:r w:rsidR="004C37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COMPAÑIA DE LUZ Y FUERZA DEL CENTRO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CONSEJO DE PROMOCION TURISTICA DE MEXICO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CONSEJO DE RECURSOS MINERALES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CONSEJO MEXICANO DEL CAFE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CONSEJO NACIONAL DE CIENCIA Y TECNOLOGIA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CONSEJO NACIONAL DE FOMENTO EDUCATIVO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CONSEJO NACIONAL DE POBLACION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CONSEJO NACIONAL PARA LA CULTURA Y LAS ARTES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FIDEICOMISO DE FOMENTO MINERO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FINANCIERA RURAL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FONDO DE CULTURA ECONOMICA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FONDO DE FOMENTO Y GARANTIA PARA EL CONSUMO DE LOS TRABAJADORES</w:t>
      </w:r>
      <w:r w:rsidR="00BE21B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FONDO DE VIVIENDA DEL ISSSTE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FONDO NACIONAL DE APOYO PARA LAS EMPRESAS DE SOLIDARIDAD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FONDO NACIONAL DE FOMENTO AL TURISMO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FONDO NACIONAL PARA EL FOMENTO DE LAS ARTESANIAS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FONDO NACIONAL PARA LA CULTURA Y LAS ARTES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DE SEGURIDAD SOCIAL PARA LAS FUERZAS ARMADAS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DE SEGURIDAD Y SERVICIOS SOCIALES DE LOS TRABAJADORES DEL ESTADO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DEL FONDO NACIONAL PARA LA VIVIENDA DE LOS TRABAJADORES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FEDERAL DE ACCESO A LA INFORMACION PUBLICA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FEDERAL ELECTORAL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INSTITUTO MEXICANO DE CINEMATOGRAFIA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MEXICANO DE LA RADIO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MEXICANO DEL PETROLEO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MEXICANO DEL SEGURO SOCIAL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ANTROPOLOGIA E HISTORIA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BELLAS ARTES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DESARROLLO SOCIAL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ECOLOGIA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ENFERMEDADES RESPIRATORIAS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ESTADISTICA, GEOGRAFIA E INFORMATICA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ESTUDIOS HISTORICOS DE LA REVOLUCION MEXICANA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INVESTIGACIONES NUCLEARES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LA NUTRICION SALVADOR ZUBIRAN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LAS MUJERES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MEDICINA GENOMICA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MIGRACION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PERSONAS ADULTAS MAYORES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DE PESCA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NACIONAL PARA LA EDUCACION DE LOS ADULTOS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INSTITUTO PARA LA PROTECCION AL AHORRO BANCARIO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LOTERIA NACIONAL PARA LA ASISTENCIA PUBLICA NACIONAL FINANCIERA, S.N.C.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PETROLEOS MEXICANOS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POLICIA FEDERAL PREVENTIVA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PROCURADURIA AGRARIA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PROCURADURIA FEDERAL DE PROTECCION AL MEDIO AMBIENTE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PROCURADURIA FEDERAL DEL CONSUMIDOR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PRONOSTICOS PARA LA ASISTENCIA PUBLICA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REGISTRO AGRARIO NACIONAL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SERVICIO POSTAL MEXICANO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SISTEMA NACIONAL DE SEGURIDAD PUBLICA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SISTEMA NACIONAL PARA EL DESARROLLO INTEGRAL DE LA FAMILIA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SOCIEDAD HIPOTECARIA FEDERAL, S.N.C.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TALLERES GRAFICOS DE MEXICO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TELECOMUNICACIONES DE MEXICO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CAPITULO II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De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Competencia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las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Secretarías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Estado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nsejería Jurídica del Ejecutivo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Federal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Artículo 26.- Para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despacho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los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asuntos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del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orden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administrativo,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 Poder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Ejecutivo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Unión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contará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con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las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siguientes</w:t>
      </w:r>
      <w:r w:rsidR="00B065A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dependencias: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Secretaría de 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Gobernación </w:t>
      </w:r>
    </w:p>
    <w:p w:rsidR="00E3790F" w:rsidRDefault="00DF303B" w:rsidP="00DF303B">
      <w:pPr>
        <w:shd w:val="clear" w:color="auto" w:fill="FFFFFF"/>
        <w:spacing w:line="451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Secretaría de</w:t>
      </w:r>
      <w:r w:rsidR="00BE21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Relaciones Exteriores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la Defensa Nacional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Marina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Hacienda y Crédito Público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Desarrollo Social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Medio Ambiente y Recursos Naturales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Energía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Economía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Agricultura, Ganadería, Desarrollo Rural, Pesca y Alimentación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Comunicaciones y Transportes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Educación Pública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Salud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Secretaría del Trabajo y Previsión Social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Desarrollo Agrario, Territorial y Urbano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Secretaría de Turismo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Consejería Jurídi</w:t>
      </w:r>
      <w:r w:rsidR="0037116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 del Ejecutivo Federal</w:t>
      </w:r>
      <w:r w:rsidR="0037116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E3790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SECRETARIA DE ENERGIA</w:t>
      </w:r>
      <w:r w:rsidRPr="00E3790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r w:rsidRPr="00E3790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Misión</w:t>
      </w:r>
      <w:r w:rsidR="006B437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Conducir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 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política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energética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del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país, dentro del marco constitucional vigente, para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garantizar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suministro 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competitivo, 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suficiente,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alta </w:t>
      </w:r>
      <w:r w:rsidR="00812C0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calidad, económicamente viable y ambientalmente sustentable de energéticos que requiere el desarrollo de la vida nacional.</w:t>
      </w:r>
    </w:p>
    <w:p w:rsidR="00E3790F" w:rsidRDefault="00DF303B" w:rsidP="00DF303B">
      <w:pPr>
        <w:shd w:val="clear" w:color="auto" w:fill="FFFFFF"/>
        <w:spacing w:line="451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Visión</w:t>
      </w:r>
      <w:r w:rsidR="006B437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Una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población 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con 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acceso 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pleno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los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 insumos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energéticos,  a  precios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competitivos; 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con 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empresas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públicas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</w:t>
      </w:r>
      <w:r w:rsidR="00DD211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privadas de calidad</w:t>
      </w:r>
      <w:r w:rsidR="00EC396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mundial, operando dentro de un marco legal y regulatorio adecuado.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Con 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un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firme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impulso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al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uso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eficiente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energía </w:t>
      </w:r>
      <w:r w:rsidR="00EC396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 a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 investigación y desarrollo tecnológicos; con amplia promoción 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del</w:t>
      </w:r>
      <w:r w:rsidR="00746F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uso de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fuentes alternativas de energía; y con seguridad de abasto.</w:t>
      </w:r>
    </w:p>
    <w:p w:rsidR="007C019C" w:rsidRDefault="00DF303B" w:rsidP="00DF303B">
      <w:pPr>
        <w:shd w:val="clear" w:color="auto" w:fill="FFFFFF"/>
        <w:spacing w:line="451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Organización Sectorial</w:t>
      </w:r>
      <w:r w:rsidR="006B437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México, 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al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igual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que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los otros países del mundo, sustenta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gran medida su desarrollo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económico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social 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</w:t>
      </w:r>
      <w:r w:rsidR="005B5E1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u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so de energéticos.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esta forma, los recursos 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del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país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apoyan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industrialización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proporcionan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DD2AC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bienestar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 la sociedad.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El sector energía tiene un papel decisivo en la vida nacional: genera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electricidad e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hidrocarburos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como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insumos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para la economía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</w:t>
      </w:r>
      <w:r w:rsidR="006B437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prestación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servicios públicos, aporta importantes contribuciones a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los ingresos fiscales y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da empleo a más de trescientos mil trabajadoras/es.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En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ámbito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energético,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coordinado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por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 Secretaría de Energía,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empresa pública tiene una especial importancia, ya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que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además de sus aportaciones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sociedad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en términos económicos y de servicios,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en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esta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rama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están ubicadas tres de las empresas más grandes del país: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Petróleos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Mexicanos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organismos subsidiarios (Pemex), y Comisión Federal de Electricidad (CFE). Hay que agregar, además, que Pemex ha sido considerada como una de las 10 mayores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empresas del mundo por sus activos e ingresos.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El sector energía agrupa a las tres empresas mencionadas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anteriormente en dos subsectores: hidrocarburos y electricidad. Engloba, asimismo,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7C019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otras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5B5E1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entidades que son responsables,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ámbito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su 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competencia,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5B5E1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brindar</w:t>
      </w:r>
      <w:r w:rsidR="005D752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diversos servicios. Por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un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lado,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los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institutos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Mexicano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del Petróleo, de Investigaciones Eléctricas y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Nacional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Investigaciones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Nucleares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desarrollan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trabajos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investigación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científica, que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proporcionan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elementos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innovación tecnológica para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que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Pemex, CFE y LFC aumenten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su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competitividad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ofrezcan mejores productos y servicios.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Promueven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también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formación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 recursos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humanos especializados,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con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fin 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apoyar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</w:t>
      </w:r>
      <w:r w:rsidR="008C435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las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industrias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petrolera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 eléctrica nacionales.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Por su parte, los trabajos de exploración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los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7C019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servicios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alta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especialización tecnológica, que lleva a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cabo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Compañía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Mexicana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Exploraciones, SA,</w:t>
      </w:r>
      <w:r w:rsidR="007C019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han permitido 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que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Pemex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identifique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reservas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 hidrocarburos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susceptibles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explotación futura. 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Con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respecto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 III 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Servicios, SA de CV,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los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servicios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administración y operación</w:t>
      </w:r>
      <w:r w:rsidR="006B437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inmobiliaria, que proporciona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 Petróleos Mexicanos, han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promovido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incremento 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del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valor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agregado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los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inmuebles</w:t>
      </w:r>
      <w:r w:rsidR="00DB58F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 han</w:t>
      </w:r>
      <w:r w:rsidR="001256E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facilitado el quehacer operativo de la entidad.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Finalmente, cabe mencionar que la comercialización de hidrocarburos, realizada en el plano internacional por PMI Comercio Internacional, SA de CV, es un factor determinante</w:t>
      </w:r>
      <w:r w:rsidR="004B295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para</w:t>
      </w:r>
      <w:r w:rsidR="004B295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</w:t>
      </w:r>
      <w:r w:rsidR="004B295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generación </w:t>
      </w:r>
      <w:r w:rsidR="004B295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4B295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divisas</w:t>
      </w:r>
      <w:r w:rsidR="004B295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 </w:t>
      </w:r>
      <w:r w:rsidR="004B295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4B295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importantes contribuciones fiscales para el gobierno federal.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En suma,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sector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energético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representa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un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espacio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económico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totalmente integrado. Esta condición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le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permite 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promover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uso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racional de los recursos que le son asignados, mediante la especializaci</w:t>
      </w:r>
      <w:r w:rsidR="0055084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ón de las entidades  en funcione</w:t>
      </w:r>
    </w:p>
    <w:p w:rsidR="00EB00A9" w:rsidRDefault="00DF303B" w:rsidP="00DF303B">
      <w:pPr>
        <w:shd w:val="clear" w:color="auto" w:fill="FFFFFF"/>
        <w:spacing w:line="451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 actividades específicas.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■Evolución Sectorial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■Estructura del Sector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Marco Constitucional del Sector Energético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Las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disposiciones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constitucionales </w:t>
      </w:r>
      <w:r w:rsidR="0022105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 materia energética, se encuentran en el capítulo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económico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Constitución,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que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está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D040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integrado por 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los artículos siguientes:</w:t>
      </w:r>
    </w:p>
    <w:p w:rsidR="00DB58F9" w:rsidRDefault="00DF303B" w:rsidP="004C3740">
      <w:pPr>
        <w:shd w:val="clear" w:color="auto" w:fill="FFFFFF"/>
        <w:spacing w:line="451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■Constitución Política de</w:t>
      </w:r>
      <w:r w:rsidR="004C37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los Estados Unidos Mexicanos.</w:t>
      </w:r>
      <w:r w:rsidR="004C37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Artículos constitucionales aplicables: 25, 27 y 28.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Marco Legal y Regulatorio del Sector Energético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■Marco Jurídico Básico del Sector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■Subsector de Electricidad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■Subsector de Hidrocarburos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■Subsector de Planeación Energética y Desarrollo Tecnológico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■Otras Disposiciones Jurídicas Aplicables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■Disposiciones que regulan el ejercicio y control del gasto público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Normas oficiales Mexicanas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En esta sección se encuentran las Normas Oficiales</w:t>
      </w:r>
      <w:r w:rsidR="00D9756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Mexicanas expedidas por la Secretaría, 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las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cuales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están 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clasificadas por la materia que regulan; así mismo, se 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permite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acceso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al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contenido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completo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dichas 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normas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oficiales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mexicanas, tal como fueron publicadas</w:t>
      </w:r>
      <w:r w:rsidR="004C37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 el Diario Oficial de la Federación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En la Secretaría de Energía se integraron cinco Comités </w:t>
      </w:r>
      <w:r w:rsidR="005B5E1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Normalización, que son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los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encargados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participar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todo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proceso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EB00A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5B5E1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elaboración de las Normas Oficiales Mexicanas correspondientes a las siguientes materias: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■Elect</w:t>
      </w:r>
      <w:r w:rsidR="006B437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ricidad </w:t>
      </w:r>
      <w:r w:rsidR="006B437C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■Eficiencia energética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■Eficiencia térmica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■Hidrocarburos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■Gas</w:t>
      </w:r>
      <w:r w:rsidR="00DB58F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natural </w:t>
      </w:r>
      <w:r w:rsidR="00DB58F9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■Seguridad nuclear</w:t>
      </w:r>
    </w:p>
    <w:p w:rsidR="00A65CFF" w:rsidRPr="004C3740" w:rsidRDefault="00DF303B" w:rsidP="004C3740">
      <w:pPr>
        <w:shd w:val="clear" w:color="auto" w:fill="FFFFFF"/>
        <w:spacing w:line="451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Bibliografía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http://www.quienesquienmexico.com.mx/paraestatales.htm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http://www.energia.gob.mx/portal/ </w:t>
      </w:r>
      <w:r w:rsidRPr="00DF303B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</w:p>
    <w:sectPr w:rsidR="00A65CFF" w:rsidRPr="004C3740" w:rsidSect="00922B84">
      <w:footerReference w:type="default" r:id="rId8"/>
      <w:pgSz w:w="12240" w:h="15840"/>
      <w:pgMar w:top="1417" w:right="1701" w:bottom="1417" w:left="1701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33F" w:rsidRDefault="0033333F" w:rsidP="00C034D3">
      <w:pPr>
        <w:spacing w:after="0" w:line="240" w:lineRule="auto"/>
      </w:pPr>
      <w:r>
        <w:separator/>
      </w:r>
    </w:p>
  </w:endnote>
  <w:endnote w:type="continuationSeparator" w:id="0">
    <w:p w:rsidR="0033333F" w:rsidRDefault="0033333F" w:rsidP="00C0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9230922"/>
      <w:docPartObj>
        <w:docPartGallery w:val="Page Numbers (Bottom of Page)"/>
        <w:docPartUnique/>
      </w:docPartObj>
    </w:sdtPr>
    <w:sdtEndPr/>
    <w:sdtContent>
      <w:p w:rsidR="004C3740" w:rsidRDefault="004C37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624" w:rsidRPr="002E6624">
          <w:rPr>
            <w:noProof/>
            <w:lang w:val="es-ES"/>
          </w:rPr>
          <w:t>1</w:t>
        </w:r>
        <w:r>
          <w:fldChar w:fldCharType="end"/>
        </w:r>
      </w:p>
    </w:sdtContent>
  </w:sdt>
  <w:p w:rsidR="004C3740" w:rsidRDefault="004C37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33F" w:rsidRDefault="0033333F" w:rsidP="00C034D3">
      <w:pPr>
        <w:spacing w:after="0" w:line="240" w:lineRule="auto"/>
      </w:pPr>
      <w:r>
        <w:separator/>
      </w:r>
    </w:p>
  </w:footnote>
  <w:footnote w:type="continuationSeparator" w:id="0">
    <w:p w:rsidR="0033333F" w:rsidRDefault="0033333F" w:rsidP="00C03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3B"/>
    <w:rsid w:val="001256E3"/>
    <w:rsid w:val="001A6A86"/>
    <w:rsid w:val="001D3B16"/>
    <w:rsid w:val="00221057"/>
    <w:rsid w:val="002E6624"/>
    <w:rsid w:val="002E7C29"/>
    <w:rsid w:val="00327CE7"/>
    <w:rsid w:val="0033333F"/>
    <w:rsid w:val="00371163"/>
    <w:rsid w:val="003C42D9"/>
    <w:rsid w:val="004B295B"/>
    <w:rsid w:val="004C3740"/>
    <w:rsid w:val="004F099F"/>
    <w:rsid w:val="0055084B"/>
    <w:rsid w:val="005B5E14"/>
    <w:rsid w:val="005D7526"/>
    <w:rsid w:val="006B437C"/>
    <w:rsid w:val="006C174A"/>
    <w:rsid w:val="00746F61"/>
    <w:rsid w:val="007C019C"/>
    <w:rsid w:val="00812C0F"/>
    <w:rsid w:val="00862F30"/>
    <w:rsid w:val="008C435D"/>
    <w:rsid w:val="00922B84"/>
    <w:rsid w:val="00935E1C"/>
    <w:rsid w:val="0096792F"/>
    <w:rsid w:val="00A65CFF"/>
    <w:rsid w:val="00B065A2"/>
    <w:rsid w:val="00BB073C"/>
    <w:rsid w:val="00BE21B9"/>
    <w:rsid w:val="00BE21FE"/>
    <w:rsid w:val="00C034D3"/>
    <w:rsid w:val="00CD02B8"/>
    <w:rsid w:val="00D04099"/>
    <w:rsid w:val="00D9756D"/>
    <w:rsid w:val="00DB58F9"/>
    <w:rsid w:val="00DD211C"/>
    <w:rsid w:val="00DD2AC2"/>
    <w:rsid w:val="00DF303B"/>
    <w:rsid w:val="00E3790F"/>
    <w:rsid w:val="00E5764D"/>
    <w:rsid w:val="00EB00A9"/>
    <w:rsid w:val="00EC3968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F303B"/>
  </w:style>
  <w:style w:type="character" w:styleId="Hipervnculo">
    <w:name w:val="Hyperlink"/>
    <w:basedOn w:val="Fuentedeprrafopredeter"/>
    <w:uiPriority w:val="99"/>
    <w:semiHidden/>
    <w:unhideWhenUsed/>
    <w:rsid w:val="00DF303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03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67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03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4D3"/>
  </w:style>
  <w:style w:type="paragraph" w:styleId="Piedepgina">
    <w:name w:val="footer"/>
    <w:basedOn w:val="Normal"/>
    <w:link w:val="PiedepginaCar"/>
    <w:uiPriority w:val="99"/>
    <w:unhideWhenUsed/>
    <w:rsid w:val="00C03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F303B"/>
  </w:style>
  <w:style w:type="character" w:styleId="Hipervnculo">
    <w:name w:val="Hyperlink"/>
    <w:basedOn w:val="Fuentedeprrafopredeter"/>
    <w:uiPriority w:val="99"/>
    <w:semiHidden/>
    <w:unhideWhenUsed/>
    <w:rsid w:val="00DF303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03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67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03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4D3"/>
  </w:style>
  <w:style w:type="paragraph" w:styleId="Piedepgina">
    <w:name w:val="footer"/>
    <w:basedOn w:val="Normal"/>
    <w:link w:val="PiedepginaCar"/>
    <w:uiPriority w:val="99"/>
    <w:unhideWhenUsed/>
    <w:rsid w:val="00C03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43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7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3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2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5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2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1728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PRINCESA</dc:creator>
  <cp:lastModifiedBy>PRINCESA</cp:lastModifiedBy>
  <cp:revision>37</cp:revision>
  <dcterms:created xsi:type="dcterms:W3CDTF">2015-01-17T03:33:00Z</dcterms:created>
  <dcterms:modified xsi:type="dcterms:W3CDTF">2015-01-18T03:39:00Z</dcterms:modified>
</cp:coreProperties>
</file>