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044B" w:rsidRPr="00C73F33" w:rsidRDefault="006C2367" w:rsidP="00895C85">
      <w:pPr>
        <w:pStyle w:val="Piedepgina"/>
        <w:jc w:val="right"/>
        <w:rPr>
          <w:rFonts w:ascii="Arial" w:hAnsi="Arial" w:cs="Arial"/>
        </w:rPr>
      </w:pPr>
      <w:r w:rsidRPr="00C73F33">
        <w:rPr>
          <w:rFonts w:ascii="Arial" w:hAnsi="Arial" w:cs="Arial"/>
        </w:rPr>
        <w:t>Evaluación e Impacto de las Políticas Públicas</w:t>
      </w:r>
    </w:p>
    <w:p w:rsidR="00AC044B" w:rsidRPr="00C73F33" w:rsidRDefault="000A7DBE" w:rsidP="00895C85">
      <w:pPr>
        <w:pStyle w:val="Piedepgina"/>
        <w:jc w:val="right"/>
        <w:rPr>
          <w:rFonts w:ascii="Arial" w:hAnsi="Arial" w:cs="Arial"/>
        </w:rPr>
      </w:pPr>
      <w:r>
        <w:rPr>
          <w:rFonts w:ascii="Arial" w:hAnsi="Arial" w:cs="Arial"/>
        </w:rPr>
        <w:t>Actividad 8</w:t>
      </w:r>
    </w:p>
    <w:p w:rsidR="00AC044B" w:rsidRPr="00C73F33" w:rsidRDefault="00AC044B" w:rsidP="00895C85">
      <w:pPr>
        <w:pStyle w:val="Piedepgina"/>
        <w:jc w:val="right"/>
        <w:rPr>
          <w:rFonts w:ascii="Arial" w:hAnsi="Arial" w:cs="Arial"/>
          <w:b/>
        </w:rPr>
      </w:pPr>
      <w:r w:rsidRPr="00C73F33">
        <w:rPr>
          <w:rFonts w:ascii="Arial" w:hAnsi="Arial" w:cs="Arial"/>
          <w:b/>
        </w:rPr>
        <w:t>Walter Guillermo Aguilar Castañeda</w:t>
      </w:r>
    </w:p>
    <w:p w:rsidR="000426C6" w:rsidRPr="00C73F33" w:rsidRDefault="000426C6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F5017E" w:rsidRPr="00C73F33" w:rsidRDefault="00F5017E" w:rsidP="00895C85">
      <w:pPr>
        <w:spacing w:after="0" w:line="240" w:lineRule="auto"/>
        <w:jc w:val="both"/>
        <w:rPr>
          <w:rFonts w:ascii="Arial" w:hAnsi="Arial" w:cs="Arial"/>
          <w:b/>
        </w:rPr>
      </w:pPr>
    </w:p>
    <w:p w:rsidR="00E351D2" w:rsidRDefault="00E351D2" w:rsidP="004326FC">
      <w:pPr>
        <w:spacing w:after="0" w:line="240" w:lineRule="auto"/>
        <w:jc w:val="both"/>
        <w:rPr>
          <w:rFonts w:ascii="Arial" w:hAnsi="Arial" w:cs="Arial"/>
          <w:b/>
        </w:rPr>
      </w:pPr>
      <w:r w:rsidRPr="00E351D2">
        <w:rPr>
          <w:rFonts w:ascii="Arial" w:hAnsi="Arial" w:cs="Arial"/>
          <w:b/>
        </w:rPr>
        <w:t>Monitoreo y evaluación de políticas, programas y proyectos sociales.</w:t>
      </w:r>
    </w:p>
    <w:p w:rsidR="00F730DF" w:rsidRDefault="004339E1" w:rsidP="004326FC">
      <w:p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A7DBE">
        <w:rPr>
          <w:rFonts w:ascii="Arial" w:hAnsi="Arial" w:cs="Arial"/>
        </w:rPr>
        <w:t>Di Virgilio</w:t>
      </w:r>
      <w:r>
        <w:rPr>
          <w:rFonts w:ascii="Arial" w:hAnsi="Arial" w:cs="Arial"/>
        </w:rPr>
        <w:t xml:space="preserve">, </w:t>
      </w:r>
      <w:r w:rsidR="000A7DBE">
        <w:rPr>
          <w:rFonts w:ascii="Arial" w:hAnsi="Arial" w:cs="Arial"/>
        </w:rPr>
        <w:t>María Mercedes</w:t>
      </w:r>
      <w:r w:rsidR="00A67B72" w:rsidRPr="00C73F33">
        <w:rPr>
          <w:rFonts w:ascii="Arial" w:hAnsi="Arial" w:cs="Arial"/>
        </w:rPr>
        <w:t>)</w:t>
      </w:r>
    </w:p>
    <w:p w:rsidR="003E7980" w:rsidRDefault="003E7980" w:rsidP="004326FC">
      <w:pPr>
        <w:spacing w:after="0" w:line="240" w:lineRule="auto"/>
        <w:jc w:val="both"/>
        <w:rPr>
          <w:rFonts w:ascii="Arial" w:hAnsi="Arial" w:cs="Arial"/>
        </w:rPr>
      </w:pPr>
    </w:p>
    <w:p w:rsidR="00DD38F6" w:rsidRDefault="00DD38F6" w:rsidP="00DD38F6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En su obra, l</w:t>
      </w:r>
      <w:r w:rsidRPr="00DD38F6">
        <w:rPr>
          <w:rFonts w:ascii="Arial" w:hAnsi="Arial" w:cs="Arial"/>
          <w:sz w:val="20"/>
          <w:szCs w:val="20"/>
          <w:shd w:val="clear" w:color="auto" w:fill="FFFFFF"/>
        </w:rPr>
        <w:t>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principales objetivos que nos presenta la autora </w:t>
      </w:r>
      <w:r w:rsidR="004C653A">
        <w:rPr>
          <w:rFonts w:ascii="Arial" w:hAnsi="Arial" w:cs="Arial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sz w:val="20"/>
          <w:szCs w:val="20"/>
          <w:shd w:val="clear" w:color="auto" w:fill="FFFFFF"/>
        </w:rPr>
        <w:t>en</w:t>
      </w:r>
      <w:r w:rsidR="004C653A">
        <w:rPr>
          <w:rFonts w:ascii="Arial" w:hAnsi="Arial" w:cs="Arial"/>
          <w:sz w:val="20"/>
          <w:szCs w:val="20"/>
          <w:shd w:val="clear" w:color="auto" w:fill="FFFFFF"/>
        </w:rPr>
        <w:t>tro 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su estudio para el monitoreo y la evaluación de programas sociales son los siguientes</w:t>
      </w:r>
      <w:r w:rsidR="00BE1D14">
        <w:rPr>
          <w:rFonts w:ascii="Arial" w:hAnsi="Arial" w:cs="Arial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1). </w:t>
      </w:r>
      <w:r w:rsidRPr="00DD38F6">
        <w:rPr>
          <w:rFonts w:ascii="Arial" w:hAnsi="Arial" w:cs="Arial"/>
          <w:sz w:val="20"/>
          <w:szCs w:val="20"/>
          <w:shd w:val="clear" w:color="auto" w:fill="FFFFFF"/>
        </w:rPr>
        <w:t>Comprender los principales aspect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os conceptuales del monitoreo y </w:t>
      </w:r>
      <w:r w:rsidRPr="00DD38F6">
        <w:rPr>
          <w:rFonts w:ascii="Arial" w:hAnsi="Arial" w:cs="Arial"/>
          <w:sz w:val="20"/>
          <w:szCs w:val="20"/>
          <w:shd w:val="clear" w:color="auto" w:fill="FFFFFF"/>
        </w:rPr>
        <w:t>la evaluación en el marco de los procesos d</w:t>
      </w:r>
      <w:r>
        <w:rPr>
          <w:rFonts w:ascii="Arial" w:hAnsi="Arial" w:cs="Arial"/>
          <w:sz w:val="20"/>
          <w:szCs w:val="20"/>
          <w:shd w:val="clear" w:color="auto" w:fill="FFFFFF"/>
        </w:rPr>
        <w:t>e gestión de las 3P destinadas a niñez y adolescencia; 2).</w:t>
      </w:r>
      <w:r w:rsidRPr="00DD38F6">
        <w:t xml:space="preserve"> </w:t>
      </w:r>
      <w:r w:rsidRPr="00DD38F6">
        <w:rPr>
          <w:rFonts w:ascii="Arial" w:hAnsi="Arial" w:cs="Arial"/>
          <w:sz w:val="20"/>
          <w:szCs w:val="20"/>
          <w:shd w:val="clear" w:color="auto" w:fill="FFFFFF"/>
        </w:rPr>
        <w:t xml:space="preserve">Identificar el lugar que ocupan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el monitoreo y la evaluación en </w:t>
      </w:r>
      <w:r w:rsidRPr="00DD38F6">
        <w:rPr>
          <w:rFonts w:ascii="Arial" w:hAnsi="Arial" w:cs="Arial"/>
          <w:sz w:val="20"/>
          <w:szCs w:val="20"/>
          <w:shd w:val="clear" w:color="auto" w:fill="FFFFFF"/>
        </w:rPr>
        <w:t xml:space="preserve">los procesos de gestión de las 3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P, según sus diferentes tipos y modalidades; y 3). </w:t>
      </w:r>
      <w:r w:rsidRPr="00DD38F6">
        <w:rPr>
          <w:rFonts w:ascii="Arial" w:hAnsi="Arial" w:cs="Arial"/>
          <w:sz w:val="20"/>
          <w:szCs w:val="20"/>
          <w:shd w:val="clear" w:color="auto" w:fill="FFFFFF"/>
        </w:rPr>
        <w:t>Conocer los alcances y limitaciones de los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diferentes tipos y modalidades </w:t>
      </w:r>
      <w:r w:rsidRPr="00DD38F6">
        <w:rPr>
          <w:rFonts w:ascii="Arial" w:hAnsi="Arial" w:cs="Arial"/>
          <w:sz w:val="20"/>
          <w:szCs w:val="20"/>
          <w:shd w:val="clear" w:color="auto" w:fill="FFFFFF"/>
        </w:rPr>
        <w:t xml:space="preserve">de </w:t>
      </w:r>
      <w:proofErr w:type="spellStart"/>
      <w:r w:rsidRPr="00DD38F6">
        <w:rPr>
          <w:rFonts w:ascii="Arial" w:hAnsi="Arial" w:cs="Arial"/>
          <w:sz w:val="20"/>
          <w:szCs w:val="20"/>
          <w:shd w:val="clear" w:color="auto" w:fill="FFFFFF"/>
        </w:rPr>
        <w:t>M&amp;E</w:t>
      </w:r>
      <w:proofErr w:type="spellEnd"/>
      <w:r w:rsidRPr="00DD38F6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4C653A" w:rsidRDefault="004C653A" w:rsidP="004C653A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4C653A" w:rsidRDefault="00A3341E" w:rsidP="004C653A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¿Qué son la evaluación y el monitoreo de las 3P?</w:t>
      </w:r>
    </w:p>
    <w:p w:rsidR="00A3341E" w:rsidRDefault="00A3341E" w:rsidP="004C653A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D807AB" w:rsidRDefault="00A3341E" w:rsidP="00D807AB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A3341E">
        <w:rPr>
          <w:rFonts w:ascii="Arial" w:hAnsi="Arial" w:cs="Arial"/>
          <w:sz w:val="20"/>
          <w:szCs w:val="20"/>
          <w:shd w:val="clear" w:color="auto" w:fill="FFFFFF"/>
        </w:rPr>
        <w:t>La evaluación puede definirse como la emisi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ón de un juicio de valor acerca 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de una política, programa o proyecto y puede ser entendida como: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“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Una actividad programada de reflexión so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bre la acción, cuya realización 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puede proponerse para antes, durante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o después de la implementación 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de una política, programa o proyecto</w:t>
      </w:r>
      <w:r>
        <w:rPr>
          <w:rFonts w:ascii="Arial" w:hAnsi="Arial" w:cs="Arial"/>
          <w:sz w:val="20"/>
          <w:szCs w:val="20"/>
          <w:shd w:val="clear" w:color="auto" w:fill="FFFFFF"/>
        </w:rPr>
        <w:t>”. “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Consecuencia de la necesidad 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introducir cambios respecto de 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un problema de viabili</w:t>
      </w:r>
      <w:r>
        <w:rPr>
          <w:rFonts w:ascii="Arial" w:hAnsi="Arial" w:cs="Arial"/>
          <w:sz w:val="20"/>
          <w:szCs w:val="20"/>
          <w:shd w:val="clear" w:color="auto" w:fill="FFFFFF"/>
        </w:rPr>
        <w:t>dad, funcionamiento, resultados o impacto de las 3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(</w:t>
      </w:r>
      <w:r>
        <w:rPr>
          <w:rFonts w:ascii="Arial" w:hAnsi="Arial" w:cs="Arial"/>
          <w:i/>
          <w:sz w:val="20"/>
          <w:szCs w:val="20"/>
          <w:shd w:val="clear" w:color="auto" w:fill="FFFFFF"/>
        </w:rPr>
        <w:t>El desarrollo de una evaluación supone una decisión de política pública y constituye un insumo clave para el desarrollo de las 3p)”.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“Un proceso reflexivo que se 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apoya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en la formulación de preguntas 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precisas sobre uno o varios aspectos r</w:t>
      </w:r>
      <w:r>
        <w:rPr>
          <w:rFonts w:ascii="Arial" w:hAnsi="Arial" w:cs="Arial"/>
          <w:sz w:val="20"/>
          <w:szCs w:val="20"/>
          <w:shd w:val="clear" w:color="auto" w:fill="FFFFFF"/>
        </w:rPr>
        <w:t>elativos al diseño, ejecución o finalización de las 3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/>
          <w:sz w:val="20"/>
          <w:szCs w:val="20"/>
          <w:shd w:val="clear" w:color="auto" w:fill="FFFFFF"/>
        </w:rPr>
        <w:t>”</w:t>
      </w:r>
      <w:r w:rsidRPr="00A3341E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E1D1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D6327">
        <w:rPr>
          <w:rFonts w:ascii="Arial" w:hAnsi="Arial" w:cs="Arial"/>
          <w:sz w:val="20"/>
          <w:szCs w:val="20"/>
          <w:shd w:val="clear" w:color="auto" w:fill="FFFFFF"/>
        </w:rPr>
        <w:t xml:space="preserve">La evaluación se compone de: </w:t>
      </w:r>
      <w:r w:rsidR="00AD6327" w:rsidRPr="00AD6327">
        <w:rPr>
          <w:rFonts w:ascii="Arial" w:hAnsi="Arial" w:cs="Arial"/>
          <w:sz w:val="20"/>
          <w:szCs w:val="20"/>
          <w:shd w:val="clear" w:color="auto" w:fill="FFFFFF"/>
        </w:rPr>
        <w:t xml:space="preserve">Un objeto: </w:t>
      </w:r>
      <w:r w:rsidR="00AD6327" w:rsidRPr="00AD6327">
        <w:rPr>
          <w:rFonts w:ascii="Arial" w:hAnsi="Arial" w:cs="Arial"/>
          <w:i/>
          <w:sz w:val="20"/>
          <w:szCs w:val="20"/>
          <w:shd w:val="clear" w:color="auto" w:fill="FFFFFF"/>
        </w:rPr>
        <w:t xml:space="preserve">la política, programa o proyecto </w:t>
      </w:r>
      <w:r w:rsidR="00AD6327" w:rsidRPr="00AD6327">
        <w:rPr>
          <w:rFonts w:ascii="Arial" w:hAnsi="Arial" w:cs="Arial"/>
          <w:i/>
          <w:sz w:val="20"/>
          <w:szCs w:val="20"/>
          <w:shd w:val="clear" w:color="auto" w:fill="FFFFFF"/>
        </w:rPr>
        <w:t xml:space="preserve">sobre el que se emite un juicio </w:t>
      </w:r>
      <w:r w:rsidR="00AD6327" w:rsidRPr="00AD6327">
        <w:rPr>
          <w:rFonts w:ascii="Arial" w:hAnsi="Arial" w:cs="Arial"/>
          <w:i/>
          <w:sz w:val="20"/>
          <w:szCs w:val="20"/>
          <w:shd w:val="clear" w:color="auto" w:fill="FFFFFF"/>
        </w:rPr>
        <w:t>de valor.</w:t>
      </w:r>
      <w:r w:rsidR="00AD63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D6327" w:rsidRPr="00AD6327">
        <w:rPr>
          <w:rFonts w:ascii="Arial" w:hAnsi="Arial" w:cs="Arial"/>
          <w:sz w:val="20"/>
          <w:szCs w:val="20"/>
          <w:shd w:val="clear" w:color="auto" w:fill="FFFFFF"/>
        </w:rPr>
        <w:t xml:space="preserve">Un referente: </w:t>
      </w:r>
      <w:r w:rsidR="00AD6327" w:rsidRPr="00AD6327">
        <w:rPr>
          <w:rFonts w:ascii="Arial" w:hAnsi="Arial" w:cs="Arial"/>
          <w:i/>
          <w:sz w:val="20"/>
          <w:szCs w:val="20"/>
          <w:shd w:val="clear" w:color="auto" w:fill="FFFFFF"/>
        </w:rPr>
        <w:t>el criterio o patrón de deseab</w:t>
      </w:r>
      <w:r w:rsidR="00AD6327" w:rsidRPr="00AD6327">
        <w:rPr>
          <w:rFonts w:ascii="Arial" w:hAnsi="Arial" w:cs="Arial"/>
          <w:i/>
          <w:sz w:val="20"/>
          <w:szCs w:val="20"/>
          <w:shd w:val="clear" w:color="auto" w:fill="FFFFFF"/>
        </w:rPr>
        <w:t xml:space="preserve">ilidad contra el que se compara </w:t>
      </w:r>
      <w:r w:rsidR="00AD6327" w:rsidRPr="00AD6327">
        <w:rPr>
          <w:rFonts w:ascii="Arial" w:hAnsi="Arial" w:cs="Arial"/>
          <w:i/>
          <w:sz w:val="20"/>
          <w:szCs w:val="20"/>
          <w:shd w:val="clear" w:color="auto" w:fill="FFFFFF"/>
        </w:rPr>
        <w:t>el objeto de la evaluación.</w:t>
      </w:r>
      <w:r w:rsidR="00AD6327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D6327" w:rsidRPr="00AD6327">
        <w:rPr>
          <w:rFonts w:ascii="Arial" w:hAnsi="Arial" w:cs="Arial"/>
          <w:sz w:val="20"/>
          <w:szCs w:val="20"/>
          <w:shd w:val="clear" w:color="auto" w:fill="FFFFFF"/>
        </w:rPr>
        <w:t>Una estrategia o procedimiento sistemátic</w:t>
      </w:r>
      <w:r w:rsidR="00AD6327">
        <w:rPr>
          <w:rFonts w:ascii="Arial" w:hAnsi="Arial" w:cs="Arial"/>
          <w:sz w:val="20"/>
          <w:szCs w:val="20"/>
          <w:shd w:val="clear" w:color="auto" w:fill="FFFFFF"/>
        </w:rPr>
        <w:t xml:space="preserve">o mediante el cual se recolecta </w:t>
      </w:r>
      <w:r w:rsidR="00AD6327" w:rsidRPr="00AD6327">
        <w:rPr>
          <w:rFonts w:ascii="Arial" w:hAnsi="Arial" w:cs="Arial"/>
          <w:sz w:val="20"/>
          <w:szCs w:val="20"/>
          <w:shd w:val="clear" w:color="auto" w:fill="FFFFFF"/>
        </w:rPr>
        <w:t>y analiza la información.</w:t>
      </w:r>
      <w:r w:rsidR="00D807AB">
        <w:rPr>
          <w:rFonts w:ascii="Arial" w:hAnsi="Arial" w:cs="Arial"/>
          <w:sz w:val="20"/>
          <w:szCs w:val="20"/>
          <w:shd w:val="clear" w:color="auto" w:fill="FFFFFF"/>
        </w:rPr>
        <w:t xml:space="preserve"> Así pues, l</w:t>
      </w:r>
      <w:r w:rsidR="00D807AB" w:rsidRPr="00D807AB">
        <w:rPr>
          <w:rFonts w:ascii="Arial" w:hAnsi="Arial" w:cs="Arial"/>
          <w:sz w:val="20"/>
          <w:szCs w:val="20"/>
          <w:shd w:val="clear" w:color="auto" w:fill="FFFFFF"/>
        </w:rPr>
        <w:t xml:space="preserve">a </w:t>
      </w:r>
      <w:r w:rsidR="00D807AB">
        <w:rPr>
          <w:rFonts w:ascii="Arial" w:hAnsi="Arial" w:cs="Arial"/>
          <w:sz w:val="20"/>
          <w:szCs w:val="20"/>
          <w:shd w:val="clear" w:color="auto" w:fill="FFFFFF"/>
        </w:rPr>
        <w:t xml:space="preserve">evaluación busca conocer “para </w:t>
      </w:r>
      <w:r w:rsidR="00D807AB" w:rsidRPr="00D807AB">
        <w:rPr>
          <w:rFonts w:ascii="Arial" w:hAnsi="Arial" w:cs="Arial"/>
          <w:sz w:val="20"/>
          <w:szCs w:val="20"/>
          <w:shd w:val="clear" w:color="auto" w:fill="FFFFFF"/>
        </w:rPr>
        <w:t>hacer, para actuar, para construir, para m</w:t>
      </w:r>
      <w:r w:rsidR="00D807AB">
        <w:rPr>
          <w:rFonts w:ascii="Arial" w:hAnsi="Arial" w:cs="Arial"/>
          <w:sz w:val="20"/>
          <w:szCs w:val="20"/>
          <w:shd w:val="clear" w:color="auto" w:fill="FFFFFF"/>
        </w:rPr>
        <w:t xml:space="preserve">odificar” y así </w:t>
      </w:r>
      <w:r w:rsidR="00D807AB" w:rsidRPr="00D807AB">
        <w:rPr>
          <w:rFonts w:ascii="Arial" w:hAnsi="Arial" w:cs="Arial"/>
          <w:sz w:val="20"/>
          <w:szCs w:val="20"/>
          <w:shd w:val="clear" w:color="auto" w:fill="FFFFFF"/>
        </w:rPr>
        <w:t xml:space="preserve">nos ayuda a construir un futuro deseado </w:t>
      </w:r>
      <w:r w:rsidR="00D807AB">
        <w:rPr>
          <w:rFonts w:ascii="Arial" w:hAnsi="Arial" w:cs="Arial"/>
          <w:sz w:val="20"/>
          <w:szCs w:val="20"/>
          <w:shd w:val="clear" w:color="auto" w:fill="FFFFFF"/>
        </w:rPr>
        <w:t xml:space="preserve">en relación con una determinada </w:t>
      </w:r>
      <w:r w:rsidR="00D807AB" w:rsidRPr="00D807AB">
        <w:rPr>
          <w:rFonts w:ascii="Arial" w:hAnsi="Arial" w:cs="Arial"/>
          <w:sz w:val="20"/>
          <w:szCs w:val="20"/>
          <w:shd w:val="clear" w:color="auto" w:fill="FFFFFF"/>
        </w:rPr>
        <w:t>política o programa social.</w:t>
      </w:r>
    </w:p>
    <w:p w:rsidR="00D807AB" w:rsidRDefault="00D807AB" w:rsidP="00D807AB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D807AB" w:rsidRDefault="00D807AB" w:rsidP="00D807AB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D807AB">
        <w:rPr>
          <w:rFonts w:ascii="Arial" w:hAnsi="Arial" w:cs="Arial"/>
          <w:sz w:val="20"/>
          <w:szCs w:val="20"/>
          <w:shd w:val="clear" w:color="auto" w:fill="FFFFFF"/>
        </w:rPr>
        <w:t xml:space="preserve">El monitoreo es uno de los instrumentos que también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colabora en la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construcción de ese futuro. Ambos so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n fundamentales para la toma de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decisiones a mediano y largo plazo y const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ituyen una fuente primordial de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aprendizaje para los gobiernos y los/las gestores de políticas y programas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El monitoreo 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 el seguimiento que se realiza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durante la ejec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ución de una política, programa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 xml:space="preserve">o proyecto. Es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un instrumento, de gestión y de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política, que per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mite revisar en forma periódica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los aspectos sustant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ivos de las 3P, para optimizar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sus procesos, re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sultados e impactos. Constituye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un insumo indispensable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para la gestión administrativa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y estratégica de una iniciativa pública.</w:t>
      </w:r>
    </w:p>
    <w:p w:rsidR="00D807AB" w:rsidRDefault="00D807AB" w:rsidP="00D807AB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DA2E2E" w:rsidRDefault="00D807AB" w:rsidP="00DA2E2E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La evaluación y el monitoreo son instrumentos de política ya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q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ue forman parte de la atmósfera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política inherente 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la toma de decisiones que rodea a las 3P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valuadas, y porque el contenido de la evaluación, su juicio de valor, tiene un componente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claramente político</w:t>
      </w:r>
      <w:r w:rsidR="00BE1D14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 xml:space="preserve">La construcción de un futuro deseado, es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decir, hacia dónde queremos ir,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está mediada entre otros factores por los ins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umos que proveen el monitoreo y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la evaluación para la toma de decisiones estraté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gicas, operativas o tácticas en </w:t>
      </w:r>
      <w:r w:rsidRPr="00D807AB">
        <w:rPr>
          <w:rFonts w:ascii="Arial" w:hAnsi="Arial" w:cs="Arial"/>
          <w:sz w:val="20"/>
          <w:szCs w:val="20"/>
          <w:shd w:val="clear" w:color="auto" w:fill="FFFFFF"/>
        </w:rPr>
        <w:t>el marco del desarrollo de una política.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A94E43">
        <w:rPr>
          <w:rFonts w:ascii="Arial" w:hAnsi="Arial" w:cs="Arial"/>
          <w:sz w:val="20"/>
          <w:szCs w:val="20"/>
          <w:shd w:val="clear" w:color="auto" w:fill="FFFFFF"/>
        </w:rPr>
        <w:t xml:space="preserve">Las decisiones pueden ser: </w:t>
      </w:r>
      <w:r w:rsidR="00A94E43" w:rsidRPr="00A94E43">
        <w:rPr>
          <w:rFonts w:ascii="Arial" w:hAnsi="Arial" w:cs="Arial"/>
          <w:sz w:val="20"/>
          <w:szCs w:val="20"/>
          <w:shd w:val="clear" w:color="auto" w:fill="FFFFFF"/>
        </w:rPr>
        <w:t>De tipo preventiva: nos anticipamos a</w:t>
      </w:r>
      <w:r w:rsidR="00A94E43">
        <w:rPr>
          <w:rFonts w:ascii="Arial" w:hAnsi="Arial" w:cs="Arial"/>
          <w:sz w:val="20"/>
          <w:szCs w:val="20"/>
          <w:shd w:val="clear" w:color="auto" w:fill="FFFFFF"/>
        </w:rPr>
        <w:t xml:space="preserve"> los riesgos potenciales que se detectaron en una evaluación, y </w:t>
      </w:r>
      <w:r w:rsidR="00A94E43" w:rsidRPr="00A94E43">
        <w:rPr>
          <w:rFonts w:ascii="Arial" w:hAnsi="Arial" w:cs="Arial"/>
          <w:sz w:val="20"/>
          <w:szCs w:val="20"/>
          <w:shd w:val="clear" w:color="auto" w:fill="FFFFFF"/>
        </w:rPr>
        <w:t>De tipo correctiva: reorientamos proces</w:t>
      </w:r>
      <w:r w:rsidR="00A94E43">
        <w:rPr>
          <w:rFonts w:ascii="Arial" w:hAnsi="Arial" w:cs="Arial"/>
          <w:sz w:val="20"/>
          <w:szCs w:val="20"/>
          <w:shd w:val="clear" w:color="auto" w:fill="FFFFFF"/>
        </w:rPr>
        <w:t xml:space="preserve">os, estrategias o técnicas para </w:t>
      </w:r>
      <w:r w:rsidR="00A94E43" w:rsidRPr="00A94E43">
        <w:rPr>
          <w:rFonts w:ascii="Arial" w:hAnsi="Arial" w:cs="Arial"/>
          <w:sz w:val="20"/>
          <w:szCs w:val="20"/>
          <w:shd w:val="clear" w:color="auto" w:fill="FFFFFF"/>
        </w:rPr>
        <w:t>corregir efe</w:t>
      </w:r>
      <w:r w:rsidR="00A94E43">
        <w:rPr>
          <w:rFonts w:ascii="Arial" w:hAnsi="Arial" w:cs="Arial"/>
          <w:sz w:val="20"/>
          <w:szCs w:val="20"/>
          <w:shd w:val="clear" w:color="auto" w:fill="FFFFFF"/>
        </w:rPr>
        <w:t xml:space="preserve">ctos no deseados, ineficacias o ineficiencias de nuestras </w:t>
      </w:r>
      <w:r w:rsidR="00A94E43" w:rsidRPr="00A94E43">
        <w:rPr>
          <w:rFonts w:ascii="Arial" w:hAnsi="Arial" w:cs="Arial"/>
          <w:sz w:val="20"/>
          <w:szCs w:val="20"/>
          <w:shd w:val="clear" w:color="auto" w:fill="FFFFFF"/>
        </w:rPr>
        <w:t>acciones.</w:t>
      </w:r>
      <w:r w:rsidR="00BE1D14">
        <w:rPr>
          <w:rFonts w:ascii="Arial" w:hAnsi="Arial" w:cs="Arial"/>
          <w:sz w:val="20"/>
          <w:szCs w:val="20"/>
          <w:shd w:val="clear" w:color="auto" w:fill="FFFFFF"/>
        </w:rPr>
        <w:t xml:space="preserve">  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El monitoreo y evaluación son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actividades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 fuertemente interrelacionadas,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pero no son sinónimos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El monitoreo es un p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roceso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conti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nuo y permanente; la evaluación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se r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ealiza en períodos establecidos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y es de corte transversal.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 A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mbos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 son procesos interconectados y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complementarios. Por ejemplo, el mon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itoreo permite, además de poner de manifiesto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 xml:space="preserve">soluciones problemáticas y de 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aportar pistas para identificar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causas y posibles soluciones,</w:t>
      </w:r>
      <w:r w:rsidR="00DA2E2E">
        <w:rPr>
          <w:rFonts w:ascii="Arial" w:hAnsi="Arial" w:cs="Arial"/>
          <w:sz w:val="20"/>
          <w:szCs w:val="20"/>
          <w:shd w:val="clear" w:color="auto" w:fill="FFFFFF"/>
        </w:rPr>
        <w:t xml:space="preserve"> detectar señales de alarma que </w:t>
      </w:r>
      <w:r w:rsidR="00DA2E2E" w:rsidRPr="00DA2E2E">
        <w:rPr>
          <w:rFonts w:ascii="Arial" w:hAnsi="Arial" w:cs="Arial"/>
          <w:sz w:val="20"/>
          <w:szCs w:val="20"/>
          <w:shd w:val="clear" w:color="auto" w:fill="FFFFFF"/>
        </w:rPr>
        <w:t>serán insumo para la evaluación.</w:t>
      </w:r>
    </w:p>
    <w:p w:rsidR="00DA2E2E" w:rsidRDefault="00DA2E2E" w:rsidP="00DA2E2E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DA2E2E" w:rsidRDefault="006525F9" w:rsidP="006525F9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bookmarkStart w:id="0" w:name="_GoBack"/>
      <w:bookmarkEnd w:id="0"/>
      <w:r w:rsidRPr="006525F9">
        <w:rPr>
          <w:rFonts w:ascii="Arial" w:hAnsi="Arial" w:cs="Arial"/>
          <w:sz w:val="20"/>
          <w:szCs w:val="20"/>
          <w:shd w:val="clear" w:color="auto" w:fill="FFFFFF"/>
        </w:rPr>
        <w:t>El plan de monitoreo y evaluación (</w:t>
      </w:r>
      <w:proofErr w:type="spellStart"/>
      <w:r w:rsidRPr="006525F9">
        <w:rPr>
          <w:rFonts w:ascii="Arial" w:hAnsi="Arial" w:cs="Arial"/>
          <w:sz w:val="20"/>
          <w:szCs w:val="20"/>
          <w:shd w:val="clear" w:color="auto" w:fill="FFFFFF"/>
        </w:rPr>
        <w:t>M&amp;E</w:t>
      </w:r>
      <w:proofErr w:type="spellEnd"/>
      <w:r w:rsidRPr="006525F9">
        <w:rPr>
          <w:rFonts w:ascii="Arial" w:hAnsi="Arial" w:cs="Arial"/>
          <w:sz w:val="20"/>
          <w:szCs w:val="20"/>
          <w:shd w:val="clear" w:color="auto" w:fill="FFFFFF"/>
        </w:rPr>
        <w:t xml:space="preserve">)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forma parte de la planificación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 xml:space="preserve">de una política, programa o proyecto que debe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adecuarse a las características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del destinatario de la información que 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 producirá y a los indicadores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 xml:space="preserve">e instrumentos que se utilizarán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para su recolección, registro y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procesamiento.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Durante el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monitoreo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se recolecta información sobre l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a ejecución de las actividades plani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ficadas, para apoyar la gestión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cotidiana de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los proyectos sobre el terreno, l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os resultados conseguidos a través de la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realización de las actividades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y la respuesta de los/las titula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res, para comprobar los avances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 xml:space="preserve">y revisar </w:t>
      </w:r>
      <w:r>
        <w:rPr>
          <w:rFonts w:ascii="Arial" w:hAnsi="Arial" w:cs="Arial"/>
          <w:sz w:val="20"/>
          <w:szCs w:val="20"/>
          <w:shd w:val="clear" w:color="auto" w:fill="FFFFFF"/>
        </w:rPr>
        <w:t>el plan de trabajo y l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a consecución de los objeti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vos del programa y sus impactos </w:t>
      </w:r>
      <w:r w:rsidRPr="006525F9">
        <w:rPr>
          <w:rFonts w:ascii="Arial" w:hAnsi="Arial" w:cs="Arial"/>
          <w:sz w:val="20"/>
          <w:szCs w:val="20"/>
          <w:shd w:val="clear" w:color="auto" w:fill="FFFFFF"/>
        </w:rPr>
        <w:t>para revisar la lógica de intervención y la resolución de problemas.</w:t>
      </w:r>
    </w:p>
    <w:p w:rsidR="0058418A" w:rsidRDefault="0058418A" w:rsidP="006525F9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8418A" w:rsidRDefault="0058418A" w:rsidP="0058418A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58418A">
        <w:rPr>
          <w:rFonts w:ascii="Arial" w:hAnsi="Arial" w:cs="Arial"/>
          <w:sz w:val="20"/>
          <w:szCs w:val="20"/>
          <w:shd w:val="clear" w:color="auto" w:fill="FFFFFF"/>
        </w:rPr>
        <w:lastRenderedPageBreak/>
        <w:t>Un sistema de monitoreo se construye a partir de indicadores.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 xml:space="preserve">Los indicadores son el resultado de </w:t>
      </w:r>
      <w:proofErr w:type="spellStart"/>
      <w:r w:rsidRPr="0058418A">
        <w:rPr>
          <w:rFonts w:ascii="Arial" w:hAnsi="Arial" w:cs="Arial"/>
          <w:sz w:val="20"/>
          <w:szCs w:val="20"/>
          <w:shd w:val="clear" w:color="auto" w:fill="FFFFFF"/>
        </w:rPr>
        <w:t>operacionali</w:t>
      </w:r>
      <w:r>
        <w:rPr>
          <w:rFonts w:ascii="Arial" w:hAnsi="Arial" w:cs="Arial"/>
          <w:sz w:val="20"/>
          <w:szCs w:val="20"/>
          <w:shd w:val="clear" w:color="auto" w:fill="FFFFFF"/>
        </w:rPr>
        <w:t>zar</w:t>
      </w:r>
      <w:proofErr w:type="spellEnd"/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los objetivos a alcanz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ar en el marco de una política,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programa o p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royecto. Se expresan en metas a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partir de las cuales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se diseñan los indicadores que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permiten medir el grado en el que fueron alcanzadas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La selección de indicadores es un paso clave para 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onstruir un buen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sistema de monitoreo. Su elección requiere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tener en cuenta criterios como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independencia, verificabilidad, validez y accesibilidad.</w:t>
      </w:r>
      <w:r w:rsidR="00BE1D14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Los indicadores tienen dos funciones principales, </w:t>
      </w:r>
      <w:r w:rsidRPr="0058418A">
        <w:rPr>
          <w:rFonts w:ascii="Arial" w:hAnsi="Arial" w:cs="Arial"/>
          <w:i/>
          <w:sz w:val="20"/>
          <w:szCs w:val="20"/>
          <w:shd w:val="clear" w:color="auto" w:fill="FFFFFF"/>
        </w:rPr>
        <w:t>ayudar a monitorear los avances en la consecución de los objetivos y a</w:t>
      </w:r>
      <w:r w:rsidRPr="0058418A">
        <w:rPr>
          <w:rFonts w:ascii="Arial" w:hAnsi="Arial" w:cs="Arial"/>
          <w:i/>
          <w:sz w:val="20"/>
          <w:szCs w:val="20"/>
          <w:shd w:val="clear" w:color="auto" w:fill="FFFFFF"/>
        </w:rPr>
        <w:t>clarar la lógica de intervención del proy</w:t>
      </w:r>
      <w:r w:rsidRPr="0058418A">
        <w:rPr>
          <w:rFonts w:ascii="Arial" w:hAnsi="Arial" w:cs="Arial"/>
          <w:i/>
          <w:sz w:val="20"/>
          <w:szCs w:val="20"/>
          <w:shd w:val="clear" w:color="auto" w:fill="FFFFFF"/>
        </w:rPr>
        <w:t xml:space="preserve">ecto al indicar lo que se desea </w:t>
      </w:r>
      <w:r w:rsidRPr="0058418A">
        <w:rPr>
          <w:rFonts w:ascii="Arial" w:hAnsi="Arial" w:cs="Arial"/>
          <w:i/>
          <w:sz w:val="20"/>
          <w:szCs w:val="20"/>
          <w:shd w:val="clear" w:color="auto" w:fill="FFFFFF"/>
        </w:rPr>
        <w:t>lograr, la duración, la calidad requerida y la población objetivo.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Sin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una correcta definición de los indicador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es, se dificulta la recolección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de 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atos y disminuye la posibilidad de monitorear o evaluar en </w:t>
      </w:r>
      <w:r w:rsidRPr="0058418A">
        <w:rPr>
          <w:rFonts w:ascii="Arial" w:hAnsi="Arial" w:cs="Arial"/>
          <w:sz w:val="20"/>
          <w:szCs w:val="20"/>
          <w:shd w:val="clear" w:color="auto" w:fill="FFFFFF"/>
        </w:rPr>
        <w:t>forma adecuada la relación entre lo previsto y lo realizado.</w:t>
      </w:r>
    </w:p>
    <w:p w:rsidR="0058418A" w:rsidRDefault="0058418A" w:rsidP="0058418A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58418A" w:rsidRDefault="00EA5A5F" w:rsidP="00EA5A5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5A5F">
        <w:rPr>
          <w:rFonts w:ascii="Arial" w:hAnsi="Arial" w:cs="Arial"/>
          <w:sz w:val="20"/>
          <w:szCs w:val="20"/>
          <w:shd w:val="clear" w:color="auto" w:fill="FFFFFF"/>
        </w:rPr>
        <w:t>Un sist</w:t>
      </w:r>
      <w:r w:rsidR="00BE1D14">
        <w:rPr>
          <w:rFonts w:ascii="Arial" w:hAnsi="Arial" w:cs="Arial"/>
          <w:sz w:val="20"/>
          <w:szCs w:val="20"/>
          <w:shd w:val="clear" w:color="auto" w:fill="FFFFFF"/>
        </w:rPr>
        <w:t xml:space="preserve">ema integrado de </w:t>
      </w:r>
      <w:proofErr w:type="spellStart"/>
      <w:r w:rsidR="00BE1D14">
        <w:rPr>
          <w:rFonts w:ascii="Arial" w:hAnsi="Arial" w:cs="Arial"/>
          <w:sz w:val="20"/>
          <w:szCs w:val="20"/>
          <w:shd w:val="clear" w:color="auto" w:fill="FFFFFF"/>
        </w:rPr>
        <w:t>M&amp;E</w:t>
      </w:r>
      <w:proofErr w:type="spellEnd"/>
      <w:r w:rsidR="00BE1D14">
        <w:rPr>
          <w:rFonts w:ascii="Arial" w:hAnsi="Arial" w:cs="Arial"/>
          <w:sz w:val="20"/>
          <w:szCs w:val="20"/>
          <w:shd w:val="clear" w:color="auto" w:fill="FFFFFF"/>
        </w:rPr>
        <w:t xml:space="preserve"> colaborará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con el desarrollo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>e inclusión en el diseño de las 3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P de aquellos aprendizajes que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>resulten del análisis de otros procesos de gestión.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>Las políticas, programas y proyectos en desarr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ollo deben tener la posibilidad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 xml:space="preserve">de integrarse al sistema de </w:t>
      </w:r>
      <w:proofErr w:type="spellStart"/>
      <w:r w:rsidRPr="00EA5A5F">
        <w:rPr>
          <w:rFonts w:ascii="Arial" w:hAnsi="Arial" w:cs="Arial"/>
          <w:sz w:val="20"/>
          <w:szCs w:val="20"/>
          <w:shd w:val="clear" w:color="auto" w:fill="FFFFFF"/>
        </w:rPr>
        <w:t>M&amp;E</w:t>
      </w:r>
      <w:proofErr w:type="spellEnd"/>
      <w:r w:rsidRPr="00EA5A5F">
        <w:rPr>
          <w:rFonts w:ascii="Arial" w:hAnsi="Arial" w:cs="Arial"/>
          <w:sz w:val="20"/>
          <w:szCs w:val="20"/>
          <w:shd w:val="clear" w:color="auto" w:fill="FFFFFF"/>
        </w:rPr>
        <w:t xml:space="preserve"> en 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ualquier momento de su ciclo de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>vida. Su implementación supone utilizar indi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cadores válidos y confiables en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>tres niveles: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Genéricos, Sectoriales y Específicos.</w:t>
      </w:r>
      <w:r w:rsidR="008705A7">
        <w:rPr>
          <w:rFonts w:ascii="Arial" w:hAnsi="Arial" w:cs="Arial"/>
          <w:sz w:val="20"/>
          <w:szCs w:val="20"/>
          <w:shd w:val="clear" w:color="auto" w:fill="FFFFFF"/>
        </w:rPr>
        <w:t xml:space="preserve"> De la misma manera, permite retroalimentar el proceso de gestión al proporcionar información para la toma de decisiones con respecto a “la consistencia del diseño, la viabilidad y sustentabilidad, los procedimientos y rutinas, el cumplimiento de las acciones y resultados, la perspectiva de los titulares y de la institución, la eficacia, eficiencia y calidad de los resultados, la cobertura y las relaciones entre lo planificado y lo ejecutado.</w:t>
      </w:r>
    </w:p>
    <w:p w:rsidR="00EA5A5F" w:rsidRDefault="00EA5A5F" w:rsidP="00EA5A5F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B25B6D" w:rsidRDefault="00EA5A5F" w:rsidP="00B25B6D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EA5A5F">
        <w:rPr>
          <w:rFonts w:ascii="Arial" w:hAnsi="Arial" w:cs="Arial"/>
          <w:sz w:val="20"/>
          <w:szCs w:val="20"/>
          <w:shd w:val="clear" w:color="auto" w:fill="FFFFFF"/>
        </w:rPr>
        <w:t xml:space="preserve">El monitoreo debe permitir que los resultados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de las actividades estratégicas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>se reflejen en la toma de decisiones.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El mejor monitoreo no es aquel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>que da cuenta de todas y cada una d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e las actividades del programa, </w:t>
      </w:r>
      <w:r w:rsidRPr="00EA5A5F">
        <w:rPr>
          <w:rFonts w:ascii="Arial" w:hAnsi="Arial" w:cs="Arial"/>
          <w:sz w:val="20"/>
          <w:szCs w:val="20"/>
          <w:shd w:val="clear" w:color="auto" w:fill="FFFFFF"/>
        </w:rPr>
        <w:t>sino de aquellas que son clave para la gestión y el aprendizaje.</w:t>
      </w:r>
      <w:r w:rsidR="00BF554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B25B6D" w:rsidRPr="00B25B6D">
        <w:rPr>
          <w:rFonts w:ascii="Arial" w:hAnsi="Arial" w:cs="Arial"/>
          <w:sz w:val="20"/>
          <w:szCs w:val="20"/>
          <w:shd w:val="clear" w:color="auto" w:fill="FFFFFF"/>
        </w:rPr>
        <w:t>Para lograr una visión integral de lo qu</w:t>
      </w:r>
      <w:r w:rsidR="00B25B6D">
        <w:rPr>
          <w:rFonts w:ascii="Arial" w:hAnsi="Arial" w:cs="Arial"/>
          <w:sz w:val="20"/>
          <w:szCs w:val="20"/>
          <w:shd w:val="clear" w:color="auto" w:fill="FFFFFF"/>
        </w:rPr>
        <w:t xml:space="preserve">e acontece con las 3P, se debe </w:t>
      </w:r>
      <w:r w:rsidR="00B25B6D" w:rsidRPr="00B25B6D">
        <w:rPr>
          <w:rFonts w:ascii="Arial" w:hAnsi="Arial" w:cs="Arial"/>
          <w:sz w:val="20"/>
          <w:szCs w:val="20"/>
          <w:shd w:val="clear" w:color="auto" w:fill="FFFFFF"/>
        </w:rPr>
        <w:t>contar con fuentes de información</w:t>
      </w:r>
      <w:r w:rsidR="00B25B6D">
        <w:rPr>
          <w:rFonts w:ascii="Arial" w:hAnsi="Arial" w:cs="Arial"/>
          <w:sz w:val="20"/>
          <w:szCs w:val="20"/>
          <w:shd w:val="clear" w:color="auto" w:fill="FFFFFF"/>
        </w:rPr>
        <w:t xml:space="preserve"> como</w:t>
      </w:r>
      <w:r w:rsidR="00B25B6D" w:rsidRPr="00B25B6D">
        <w:rPr>
          <w:rFonts w:ascii="Arial" w:hAnsi="Arial" w:cs="Arial"/>
          <w:sz w:val="20"/>
          <w:szCs w:val="20"/>
          <w:shd w:val="clear" w:color="auto" w:fill="FFFFFF"/>
        </w:rPr>
        <w:t>:</w:t>
      </w:r>
      <w:r w:rsidR="00B25B6D">
        <w:rPr>
          <w:rFonts w:ascii="Arial" w:hAnsi="Arial" w:cs="Arial"/>
          <w:sz w:val="20"/>
          <w:szCs w:val="20"/>
          <w:shd w:val="clear" w:color="auto" w:fill="FFFFFF"/>
        </w:rPr>
        <w:t xml:space="preserve"> línea base, informes periódicos, supervisión en terreno y evaluaciones de impacto.</w:t>
      </w:r>
    </w:p>
    <w:p w:rsidR="00B25B6D" w:rsidRDefault="00B25B6D" w:rsidP="00B25B6D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BE1D14" w:rsidRDefault="00B25B6D" w:rsidP="003A79E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B25B6D">
        <w:rPr>
          <w:rFonts w:ascii="Arial" w:hAnsi="Arial" w:cs="Arial"/>
          <w:sz w:val="20"/>
          <w:szCs w:val="20"/>
          <w:shd w:val="clear" w:color="auto" w:fill="FFFFFF"/>
        </w:rPr>
        <w:t>La evaluación del diseño comprende la valo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ración de los insumos (recursos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humanos, materiales, temporales y f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inancieros) que una determinada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política, programa o proyecto prevé movilizar para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dar respuesta a un determinado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problema social.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 xml:space="preserve">La evaluación de procesos se focaliza en 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los medios que se utilizan para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alcanzar los objet</w:t>
      </w:r>
      <w:r>
        <w:rPr>
          <w:rFonts w:ascii="Arial" w:hAnsi="Arial" w:cs="Arial"/>
          <w:sz w:val="20"/>
          <w:szCs w:val="20"/>
          <w:shd w:val="clear" w:color="auto" w:fill="FFFFFF"/>
        </w:rPr>
        <w:t>ivos de las 3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P. Los proces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os son el objeto por excelencia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de la evaluación concurrente, aunque la e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valuación ex post también puede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considerarlos.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La evaluación de productos se concen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tra en el grado de logro de las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metas propuestas y es objeto de las evaluac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iones ex post. También lo es la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evaluación de efectos o impacto que considera,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particularmente, los productos </w:t>
      </w:r>
      <w:r w:rsidRPr="00B25B6D">
        <w:rPr>
          <w:rFonts w:ascii="Arial" w:hAnsi="Arial" w:cs="Arial"/>
          <w:sz w:val="20"/>
          <w:szCs w:val="20"/>
          <w:shd w:val="clear" w:color="auto" w:fill="FFFFFF"/>
        </w:rPr>
        <w:t>desarrollados a mediano y largo plazo.</w:t>
      </w:r>
    </w:p>
    <w:p w:rsidR="00BE1D14" w:rsidRDefault="00BE1D14" w:rsidP="003A79E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F67238" w:rsidRDefault="00CD4854" w:rsidP="003A79E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 xml:space="preserve">El monitoreo y la evaluación </w:t>
      </w:r>
      <w:proofErr w:type="gramStart"/>
      <w:r>
        <w:rPr>
          <w:rFonts w:ascii="Arial" w:hAnsi="Arial" w:cs="Arial"/>
          <w:sz w:val="20"/>
          <w:szCs w:val="20"/>
          <w:shd w:val="clear" w:color="auto" w:fill="FFFFFF"/>
        </w:rPr>
        <w:t>pueden</w:t>
      </w:r>
      <w:proofErr w:type="gramEnd"/>
      <w:r>
        <w:rPr>
          <w:rFonts w:ascii="Arial" w:hAnsi="Arial" w:cs="Arial"/>
          <w:sz w:val="20"/>
          <w:szCs w:val="20"/>
          <w:shd w:val="clear" w:color="auto" w:fill="FFFFFF"/>
        </w:rPr>
        <w:t xml:space="preserve"> ser realizados por distintos actores.</w:t>
      </w:r>
      <w:r w:rsidR="007972D8">
        <w:rPr>
          <w:rFonts w:ascii="Arial" w:hAnsi="Arial" w:cs="Arial"/>
          <w:sz w:val="20"/>
          <w:szCs w:val="20"/>
          <w:shd w:val="clear" w:color="auto" w:fill="FFFFFF"/>
        </w:rPr>
        <w:t xml:space="preserve"> En una </w:t>
      </w:r>
      <w:r w:rsidR="007972D8" w:rsidRPr="007972D8">
        <w:rPr>
          <w:rFonts w:ascii="Arial" w:hAnsi="Arial" w:cs="Arial"/>
          <w:sz w:val="20"/>
          <w:szCs w:val="20"/>
          <w:shd w:val="clear" w:color="auto" w:fill="FFFFFF"/>
        </w:rPr>
        <w:t>evaluación interna, el monitoreo suele estar a cargo</w:t>
      </w:r>
      <w:r w:rsidR="007972D8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7972D8" w:rsidRPr="007972D8">
        <w:rPr>
          <w:rFonts w:ascii="Arial" w:hAnsi="Arial" w:cs="Arial"/>
          <w:sz w:val="20"/>
          <w:szCs w:val="20"/>
          <w:shd w:val="clear" w:color="auto" w:fill="FFFFFF"/>
        </w:rPr>
        <w:t>de los miembros de la organización que implementa la política a evaluar.</w:t>
      </w:r>
      <w:r w:rsidR="007972D8">
        <w:rPr>
          <w:rFonts w:ascii="Arial" w:hAnsi="Arial" w:cs="Arial"/>
          <w:sz w:val="20"/>
          <w:szCs w:val="20"/>
          <w:shd w:val="clear" w:color="auto" w:fill="FFFFFF"/>
        </w:rPr>
        <w:t xml:space="preserve"> É</w:t>
      </w:r>
      <w:r w:rsidR="007972D8" w:rsidRPr="007972D8">
        <w:rPr>
          <w:rFonts w:ascii="Arial" w:hAnsi="Arial" w:cs="Arial"/>
          <w:sz w:val="20"/>
          <w:szCs w:val="20"/>
          <w:shd w:val="clear" w:color="auto" w:fill="FFFFFF"/>
        </w:rPr>
        <w:t>ste tipo de evaluación</w:t>
      </w:r>
      <w:r w:rsidR="007972D8">
        <w:rPr>
          <w:rFonts w:ascii="Arial" w:hAnsi="Arial" w:cs="Arial"/>
          <w:sz w:val="20"/>
          <w:szCs w:val="20"/>
          <w:shd w:val="clear" w:color="auto" w:fill="FFFFFF"/>
        </w:rPr>
        <w:t xml:space="preserve"> minimiza la reactividad de los </w:t>
      </w:r>
      <w:r w:rsidR="007972D8" w:rsidRPr="007972D8">
        <w:rPr>
          <w:rFonts w:ascii="Arial" w:hAnsi="Arial" w:cs="Arial"/>
          <w:sz w:val="20"/>
          <w:szCs w:val="20"/>
          <w:shd w:val="clear" w:color="auto" w:fill="FFFFFF"/>
        </w:rPr>
        <w:t>actores de la organización y es menos costosa en térmi</w:t>
      </w:r>
      <w:r w:rsidR="007972D8">
        <w:rPr>
          <w:rFonts w:ascii="Arial" w:hAnsi="Arial" w:cs="Arial"/>
          <w:sz w:val="20"/>
          <w:szCs w:val="20"/>
          <w:shd w:val="clear" w:color="auto" w:fill="FFFFFF"/>
        </w:rPr>
        <w:t xml:space="preserve">nos económicos </w:t>
      </w:r>
      <w:r w:rsidR="007972D8" w:rsidRPr="007972D8">
        <w:rPr>
          <w:rFonts w:ascii="Arial" w:hAnsi="Arial" w:cs="Arial"/>
          <w:sz w:val="20"/>
          <w:szCs w:val="20"/>
          <w:shd w:val="clear" w:color="auto" w:fill="FFFFFF"/>
        </w:rPr>
        <w:t>y de recursos humanos.</w:t>
      </w:r>
      <w:r w:rsidR="007972D8">
        <w:rPr>
          <w:rFonts w:ascii="Arial" w:hAnsi="Arial" w:cs="Arial"/>
          <w:sz w:val="20"/>
          <w:szCs w:val="20"/>
          <w:shd w:val="clear" w:color="auto" w:fill="FFFFFF"/>
        </w:rPr>
        <w:t xml:space="preserve"> La evaluación </w:t>
      </w:r>
      <w:r w:rsidR="007972D8" w:rsidRPr="007972D8">
        <w:rPr>
          <w:rFonts w:ascii="Arial" w:hAnsi="Arial" w:cs="Arial"/>
          <w:sz w:val="20"/>
          <w:szCs w:val="20"/>
          <w:shd w:val="clear" w:color="auto" w:fill="FFFFFF"/>
        </w:rPr>
        <w:t>interna pone en riesgo la objetivi</w:t>
      </w:r>
      <w:r w:rsidR="007972D8">
        <w:rPr>
          <w:rFonts w:ascii="Arial" w:hAnsi="Arial" w:cs="Arial"/>
          <w:sz w:val="20"/>
          <w:szCs w:val="20"/>
          <w:shd w:val="clear" w:color="auto" w:fill="FFFFFF"/>
        </w:rPr>
        <w:t xml:space="preserve">dad del proceso de evaluación y </w:t>
      </w:r>
      <w:r w:rsidR="007972D8" w:rsidRPr="007972D8">
        <w:rPr>
          <w:rFonts w:ascii="Arial" w:hAnsi="Arial" w:cs="Arial"/>
          <w:sz w:val="20"/>
          <w:szCs w:val="20"/>
          <w:shd w:val="clear" w:color="auto" w:fill="FFFFFF"/>
        </w:rPr>
        <w:t>de sus resultados y, en consecuencia, afec</w:t>
      </w:r>
      <w:r w:rsidR="007972D8">
        <w:rPr>
          <w:rFonts w:ascii="Arial" w:hAnsi="Arial" w:cs="Arial"/>
          <w:sz w:val="20"/>
          <w:szCs w:val="20"/>
          <w:shd w:val="clear" w:color="auto" w:fill="FFFFFF"/>
        </w:rPr>
        <w:t xml:space="preserve">ta directamente la credibilidad </w:t>
      </w:r>
      <w:r w:rsidR="007972D8" w:rsidRPr="007972D8">
        <w:rPr>
          <w:rFonts w:ascii="Arial" w:hAnsi="Arial" w:cs="Arial"/>
          <w:sz w:val="20"/>
          <w:szCs w:val="20"/>
          <w:shd w:val="clear" w:color="auto" w:fill="FFFFFF"/>
        </w:rPr>
        <w:t>social de la evaluación.</w:t>
      </w:r>
      <w:r w:rsidR="00BF554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La evaluación externa es llevada a cabo por a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ctores ajenos a la organización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que implementa la política a evaluar. En genera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>l, se recurre a investigadores/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as, consultores/as independientes,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 departamentos universitarios o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expertos/as internacionales para que realicen estas evaluaciones.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 En é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ste tipo de eval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uación se encuentra la supuesta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objetividad, porque los/as ev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aluadores/as no pertenecen a la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organización ejecutora y, en consecue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ncia, maximizan la credibilidad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social de la evaluación realizada.</w:t>
      </w:r>
      <w:r w:rsidR="00BF554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La evaluación mixta trata de combinar ambas perspecti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vas bajo el supuesto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de que su conjunción potencia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 los aspectos positivos de cada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una. Este proceso permi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te incluir distintas posiciones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desde el punto de vista de los actores involucrados.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 Por su parte,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la evaluación participativa incorpora a lo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s titulares del programa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evaluado; además, considera que to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dos los que, de un modo u otro,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 xml:space="preserve">se vinculan con el tema evaluado porque tienen 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 xml:space="preserve">intereses involucrados o pueden </w:t>
      </w:r>
      <w:r w:rsidR="003A79E4" w:rsidRPr="003A79E4">
        <w:rPr>
          <w:rFonts w:ascii="Arial" w:hAnsi="Arial" w:cs="Arial"/>
          <w:sz w:val="20"/>
          <w:szCs w:val="20"/>
          <w:shd w:val="clear" w:color="auto" w:fill="FFFFFF"/>
        </w:rPr>
        <w:t>verse afectados por él, deberían tener protagonismo durante el proceso</w:t>
      </w:r>
      <w:r w:rsidR="003A79E4">
        <w:rPr>
          <w:rFonts w:ascii="Arial" w:hAnsi="Arial" w:cs="Arial"/>
          <w:sz w:val="20"/>
          <w:szCs w:val="20"/>
          <w:shd w:val="clear" w:color="auto" w:fill="FFFFFF"/>
        </w:rPr>
        <w:t>.</w:t>
      </w:r>
      <w:r w:rsidR="00BF554A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F67238">
        <w:rPr>
          <w:rFonts w:ascii="Arial" w:hAnsi="Arial" w:cs="Arial"/>
          <w:sz w:val="20"/>
          <w:szCs w:val="20"/>
          <w:shd w:val="clear" w:color="auto" w:fill="FFFFFF"/>
        </w:rPr>
        <w:t>Del mismo modo, podemos evaluar un programa o proyecto basándonos en la temporalidad, estas evaluaciones pueden ser, ex ante, ex post y concurrente.</w:t>
      </w:r>
    </w:p>
    <w:p w:rsidR="00BF554A" w:rsidRDefault="00BF554A" w:rsidP="003A79E4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BF554A" w:rsidRPr="0058418A" w:rsidRDefault="00BF554A" w:rsidP="00BF554A">
      <w:pPr>
        <w:spacing w:after="0" w:line="24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sz w:val="20"/>
          <w:szCs w:val="20"/>
          <w:shd w:val="clear" w:color="auto" w:fill="FFFFFF"/>
        </w:rPr>
        <w:t xml:space="preserve">Comentario: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Tanto</w:t>
      </w:r>
      <w:r w:rsidRPr="00BF554A">
        <w:rPr>
          <w:rFonts w:ascii="Arial" w:hAnsi="Arial" w:cs="Arial"/>
          <w:b/>
          <w:i/>
          <w:sz w:val="20"/>
          <w:szCs w:val="20"/>
          <w:shd w:val="clear" w:color="auto" w:fill="FFFFFF"/>
        </w:rPr>
        <w:t xml:space="preserve">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el</w:t>
      </w:r>
      <w:r w:rsidRPr="00BF554A">
        <w:rPr>
          <w:rFonts w:ascii="Arial" w:hAnsi="Arial" w:cs="Arial"/>
          <w:b/>
          <w:i/>
          <w:sz w:val="20"/>
          <w:szCs w:val="20"/>
          <w:shd w:val="clear" w:color="auto" w:fill="FFFFFF"/>
        </w:rPr>
        <w:t xml:space="preserve">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monitoreo como la evaluación de programas sociale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 xml:space="preserve">s 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 xml:space="preserve">son instrumentos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esenciales que nos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 xml:space="preserve"> permiten aprender sobre la manera de diseñar e implementar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políticas públicas, a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 xml:space="preserve">demás de los beneficios específicos y de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corto plazo que ofrecen; l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os datos que se obtienen a tra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 xml:space="preserve">vés de ellos hablan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sobre los titulares y su vínculo con la problemáti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 xml:space="preserve">ca, y también sobre los tiempos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de implementación y las estrategias más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 xml:space="preserve"> o menos efectivas a la hora de 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>ejecutar una intervención,</w:t>
      </w:r>
      <w:r w:rsidRPr="00BF554A">
        <w:rPr>
          <w:rFonts w:ascii="Arial" w:hAnsi="Arial" w:cs="Arial"/>
          <w:i/>
          <w:sz w:val="20"/>
          <w:szCs w:val="20"/>
          <w:shd w:val="clear" w:color="auto" w:fill="FFFFFF"/>
        </w:rPr>
        <w:t xml:space="preserve"> lo que representa llevar a cabo una toma de decisiones más efectiva al momento de implementar un proyecto.</w:t>
      </w:r>
    </w:p>
    <w:sectPr w:rsidR="00BF554A" w:rsidRPr="0058418A" w:rsidSect="00BE1D14">
      <w:headerReference w:type="default" r:id="rId9"/>
      <w:pgSz w:w="12240" w:h="15840"/>
      <w:pgMar w:top="1021" w:right="1021" w:bottom="1021" w:left="1134" w:header="709" w:footer="10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0BB" w:rsidRDefault="000610BB" w:rsidP="0057035F">
      <w:pPr>
        <w:spacing w:after="0" w:line="240" w:lineRule="auto"/>
      </w:pPr>
      <w:r>
        <w:separator/>
      </w:r>
    </w:p>
  </w:endnote>
  <w:endnote w:type="continuationSeparator" w:id="0">
    <w:p w:rsidR="000610BB" w:rsidRDefault="000610BB" w:rsidP="0057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0BB" w:rsidRDefault="000610BB" w:rsidP="0057035F">
      <w:pPr>
        <w:spacing w:after="0" w:line="240" w:lineRule="auto"/>
      </w:pPr>
      <w:r>
        <w:separator/>
      </w:r>
    </w:p>
  </w:footnote>
  <w:footnote w:type="continuationSeparator" w:id="0">
    <w:p w:rsidR="000610BB" w:rsidRDefault="000610BB" w:rsidP="0057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035F" w:rsidRPr="0057035F" w:rsidRDefault="00895C85" w:rsidP="00F74A83">
    <w:pPr>
      <w:pStyle w:val="Encabezado"/>
      <w:jc w:val="right"/>
      <w:rPr>
        <w:rFonts w:ascii="Arial" w:hAnsi="Arial" w:cs="Arial"/>
        <w:color w:val="7F7F7F" w:themeColor="text1" w:themeTint="80"/>
        <w:sz w:val="20"/>
        <w:szCs w:val="20"/>
      </w:rPr>
    </w:pP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2CDB4F" wp14:editId="6BE666A6">
              <wp:simplePos x="0" y="0"/>
              <wp:positionH relativeFrom="column">
                <wp:posOffset>19491</wp:posOffset>
              </wp:positionH>
              <wp:positionV relativeFrom="paragraph">
                <wp:posOffset>187960</wp:posOffset>
              </wp:positionV>
              <wp:extent cx="6119495" cy="0"/>
              <wp:effectExtent l="0" t="0" r="14605" b="190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1949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1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55pt,14.8pt" to="483.4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" strokecolor="#76923c [2406]"/>
          </w:pict>
        </mc:Fallback>
      </mc:AlternateContent>
    </w:r>
    <w:r>
      <w:rPr>
        <w:rFonts w:ascii="Arial" w:hAnsi="Arial" w:cs="Arial"/>
        <w:noProof/>
        <w:color w:val="000000" w:themeColor="text1"/>
        <w:sz w:val="20"/>
        <w:szCs w:val="20"/>
        <w:lang w:eastAsia="es-MX"/>
      </w:rPr>
      <w:drawing>
        <wp:anchor distT="0" distB="0" distL="114300" distR="114300" simplePos="0" relativeHeight="251660288" behindDoc="1" locked="0" layoutInCell="1" allowOverlap="1" wp14:anchorId="00FCDF60" wp14:editId="00121D1A">
          <wp:simplePos x="0" y="0"/>
          <wp:positionH relativeFrom="column">
            <wp:posOffset>17145</wp:posOffset>
          </wp:positionH>
          <wp:positionV relativeFrom="paragraph">
            <wp:posOffset>-316671</wp:posOffset>
          </wp:positionV>
          <wp:extent cx="1247140" cy="467995"/>
          <wp:effectExtent l="0" t="0" r="0" b="8255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140" cy="467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7035F" w:rsidRPr="0057035F">
      <w:rPr>
        <w:rFonts w:ascii="Arial" w:hAnsi="Arial" w:cs="Arial"/>
        <w:color w:val="7F7F7F" w:themeColor="text1" w:themeTint="80"/>
        <w:sz w:val="20"/>
        <w:szCs w:val="20"/>
      </w:rPr>
      <w:t>Maestría en línea en Administración y Políticas Públicas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7B06BB"/>
    <w:multiLevelType w:val="hybridMultilevel"/>
    <w:tmpl w:val="49A251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8F2055"/>
    <w:multiLevelType w:val="hybridMultilevel"/>
    <w:tmpl w:val="82128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95CAA"/>
    <w:multiLevelType w:val="hybridMultilevel"/>
    <w:tmpl w:val="1722C2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B758A5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D28FC"/>
    <w:multiLevelType w:val="hybridMultilevel"/>
    <w:tmpl w:val="41F0FD6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D02A16"/>
    <w:multiLevelType w:val="hybridMultilevel"/>
    <w:tmpl w:val="E35495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7E3A37"/>
    <w:multiLevelType w:val="hybridMultilevel"/>
    <w:tmpl w:val="80025D5C"/>
    <w:lvl w:ilvl="0" w:tplc="08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A66135"/>
    <w:multiLevelType w:val="hybridMultilevel"/>
    <w:tmpl w:val="E6F842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C286559"/>
    <w:multiLevelType w:val="hybridMultilevel"/>
    <w:tmpl w:val="1092FA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CF6AC9"/>
    <w:multiLevelType w:val="hybridMultilevel"/>
    <w:tmpl w:val="4EB26E2A"/>
    <w:lvl w:ilvl="0" w:tplc="D98431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D8C3215"/>
    <w:multiLevelType w:val="hybridMultilevel"/>
    <w:tmpl w:val="D30621F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75B7881"/>
    <w:multiLevelType w:val="hybridMultilevel"/>
    <w:tmpl w:val="882EE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47FEC"/>
    <w:multiLevelType w:val="hybridMultilevel"/>
    <w:tmpl w:val="BC5E13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8B37B61"/>
    <w:multiLevelType w:val="hybridMultilevel"/>
    <w:tmpl w:val="85D260B2"/>
    <w:lvl w:ilvl="0" w:tplc="0BEEF1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75ED3"/>
    <w:multiLevelType w:val="hybridMultilevel"/>
    <w:tmpl w:val="A0FEBEF0"/>
    <w:lvl w:ilvl="0" w:tplc="8C5ABD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CF667A"/>
    <w:multiLevelType w:val="hybridMultilevel"/>
    <w:tmpl w:val="2EB05C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582E29"/>
    <w:multiLevelType w:val="hybridMultilevel"/>
    <w:tmpl w:val="470AA4C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14"/>
  </w:num>
  <w:num w:numId="7">
    <w:abstractNumId w:val="8"/>
  </w:num>
  <w:num w:numId="8">
    <w:abstractNumId w:val="10"/>
  </w:num>
  <w:num w:numId="9">
    <w:abstractNumId w:val="15"/>
  </w:num>
  <w:num w:numId="10">
    <w:abstractNumId w:val="11"/>
  </w:num>
  <w:num w:numId="11">
    <w:abstractNumId w:val="4"/>
  </w:num>
  <w:num w:numId="12">
    <w:abstractNumId w:val="9"/>
  </w:num>
  <w:num w:numId="13">
    <w:abstractNumId w:val="12"/>
  </w:num>
  <w:num w:numId="14">
    <w:abstractNumId w:val="16"/>
  </w:num>
  <w:num w:numId="15">
    <w:abstractNumId w:val="7"/>
  </w:num>
  <w:num w:numId="16">
    <w:abstractNumId w:val="2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2C0"/>
    <w:rsid w:val="00000700"/>
    <w:rsid w:val="00013EA9"/>
    <w:rsid w:val="000140E2"/>
    <w:rsid w:val="000426C6"/>
    <w:rsid w:val="00052919"/>
    <w:rsid w:val="0005563D"/>
    <w:rsid w:val="000610BB"/>
    <w:rsid w:val="00072E98"/>
    <w:rsid w:val="00076958"/>
    <w:rsid w:val="000859CF"/>
    <w:rsid w:val="000934B3"/>
    <w:rsid w:val="00093600"/>
    <w:rsid w:val="000A7DBE"/>
    <w:rsid w:val="000C38E5"/>
    <w:rsid w:val="000D745F"/>
    <w:rsid w:val="000D7975"/>
    <w:rsid w:val="00134276"/>
    <w:rsid w:val="001538D2"/>
    <w:rsid w:val="00177B5F"/>
    <w:rsid w:val="001945F8"/>
    <w:rsid w:val="001D69C5"/>
    <w:rsid w:val="00214018"/>
    <w:rsid w:val="002348C6"/>
    <w:rsid w:val="0024031E"/>
    <w:rsid w:val="002562EF"/>
    <w:rsid w:val="00262551"/>
    <w:rsid w:val="00264D56"/>
    <w:rsid w:val="00277892"/>
    <w:rsid w:val="0028352A"/>
    <w:rsid w:val="00290ABC"/>
    <w:rsid w:val="002A43BC"/>
    <w:rsid w:val="002C7272"/>
    <w:rsid w:val="00302183"/>
    <w:rsid w:val="0034527B"/>
    <w:rsid w:val="00345F45"/>
    <w:rsid w:val="00352B4C"/>
    <w:rsid w:val="00357246"/>
    <w:rsid w:val="00396693"/>
    <w:rsid w:val="003A1619"/>
    <w:rsid w:val="003A6E55"/>
    <w:rsid w:val="003A79E4"/>
    <w:rsid w:val="003B4B59"/>
    <w:rsid w:val="003D54EF"/>
    <w:rsid w:val="003E57B7"/>
    <w:rsid w:val="003E7980"/>
    <w:rsid w:val="004326FC"/>
    <w:rsid w:val="004339E1"/>
    <w:rsid w:val="004471B0"/>
    <w:rsid w:val="004502C0"/>
    <w:rsid w:val="004520CD"/>
    <w:rsid w:val="00463DF3"/>
    <w:rsid w:val="00465A1F"/>
    <w:rsid w:val="0048333D"/>
    <w:rsid w:val="004C653A"/>
    <w:rsid w:val="004E3504"/>
    <w:rsid w:val="004E382C"/>
    <w:rsid w:val="004E57DC"/>
    <w:rsid w:val="00531E5C"/>
    <w:rsid w:val="0054469F"/>
    <w:rsid w:val="00565FA3"/>
    <w:rsid w:val="0057035F"/>
    <w:rsid w:val="00572064"/>
    <w:rsid w:val="00573003"/>
    <w:rsid w:val="0058418A"/>
    <w:rsid w:val="005852B8"/>
    <w:rsid w:val="0058786F"/>
    <w:rsid w:val="005962F1"/>
    <w:rsid w:val="005A0812"/>
    <w:rsid w:val="005B45C3"/>
    <w:rsid w:val="005C1E33"/>
    <w:rsid w:val="006155AC"/>
    <w:rsid w:val="00640B81"/>
    <w:rsid w:val="0064540E"/>
    <w:rsid w:val="006525F9"/>
    <w:rsid w:val="006A1882"/>
    <w:rsid w:val="006B49E1"/>
    <w:rsid w:val="006C2367"/>
    <w:rsid w:val="006C5D89"/>
    <w:rsid w:val="006D1AE1"/>
    <w:rsid w:val="006F3FDF"/>
    <w:rsid w:val="00716FDB"/>
    <w:rsid w:val="00736A9C"/>
    <w:rsid w:val="00746608"/>
    <w:rsid w:val="0078727E"/>
    <w:rsid w:val="007972D8"/>
    <w:rsid w:val="007C6317"/>
    <w:rsid w:val="007E71B3"/>
    <w:rsid w:val="007F4A63"/>
    <w:rsid w:val="0082685D"/>
    <w:rsid w:val="008705A7"/>
    <w:rsid w:val="00895C85"/>
    <w:rsid w:val="008B63C0"/>
    <w:rsid w:val="00900431"/>
    <w:rsid w:val="00923525"/>
    <w:rsid w:val="0096199B"/>
    <w:rsid w:val="00970E7B"/>
    <w:rsid w:val="009929D6"/>
    <w:rsid w:val="009A3C95"/>
    <w:rsid w:val="009B1676"/>
    <w:rsid w:val="009F00AF"/>
    <w:rsid w:val="00A061B8"/>
    <w:rsid w:val="00A32C57"/>
    <w:rsid w:val="00A3341E"/>
    <w:rsid w:val="00A67B72"/>
    <w:rsid w:val="00A94E43"/>
    <w:rsid w:val="00AB33BE"/>
    <w:rsid w:val="00AC044B"/>
    <w:rsid w:val="00AC52E4"/>
    <w:rsid w:val="00AC55FA"/>
    <w:rsid w:val="00AD6327"/>
    <w:rsid w:val="00AE3B11"/>
    <w:rsid w:val="00B00171"/>
    <w:rsid w:val="00B2410B"/>
    <w:rsid w:val="00B25B6D"/>
    <w:rsid w:val="00B5752A"/>
    <w:rsid w:val="00BA7100"/>
    <w:rsid w:val="00BD191B"/>
    <w:rsid w:val="00BE1D14"/>
    <w:rsid w:val="00BE7570"/>
    <w:rsid w:val="00BF554A"/>
    <w:rsid w:val="00BF59D5"/>
    <w:rsid w:val="00C3521A"/>
    <w:rsid w:val="00C36AEF"/>
    <w:rsid w:val="00C575A3"/>
    <w:rsid w:val="00C64541"/>
    <w:rsid w:val="00C73F33"/>
    <w:rsid w:val="00CD4854"/>
    <w:rsid w:val="00CD6A1B"/>
    <w:rsid w:val="00CE4CC6"/>
    <w:rsid w:val="00CF17C9"/>
    <w:rsid w:val="00D4054B"/>
    <w:rsid w:val="00D807AB"/>
    <w:rsid w:val="00D91960"/>
    <w:rsid w:val="00D97A69"/>
    <w:rsid w:val="00DA2E2E"/>
    <w:rsid w:val="00DB4D2A"/>
    <w:rsid w:val="00DD38F6"/>
    <w:rsid w:val="00E13DDF"/>
    <w:rsid w:val="00E30B48"/>
    <w:rsid w:val="00E351D2"/>
    <w:rsid w:val="00E35CFA"/>
    <w:rsid w:val="00E37D65"/>
    <w:rsid w:val="00E50532"/>
    <w:rsid w:val="00E7121D"/>
    <w:rsid w:val="00E84763"/>
    <w:rsid w:val="00E86A25"/>
    <w:rsid w:val="00E94D0B"/>
    <w:rsid w:val="00EA5A5F"/>
    <w:rsid w:val="00EA79EF"/>
    <w:rsid w:val="00EB7D11"/>
    <w:rsid w:val="00ED511F"/>
    <w:rsid w:val="00EE0762"/>
    <w:rsid w:val="00EE6975"/>
    <w:rsid w:val="00F071C2"/>
    <w:rsid w:val="00F17825"/>
    <w:rsid w:val="00F32941"/>
    <w:rsid w:val="00F43FBF"/>
    <w:rsid w:val="00F5017E"/>
    <w:rsid w:val="00F67238"/>
    <w:rsid w:val="00F709B4"/>
    <w:rsid w:val="00F728E5"/>
    <w:rsid w:val="00F730DF"/>
    <w:rsid w:val="00F74A83"/>
    <w:rsid w:val="00F77B68"/>
    <w:rsid w:val="00FC5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8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78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7035F"/>
  </w:style>
  <w:style w:type="paragraph" w:styleId="Piedepgina">
    <w:name w:val="footer"/>
    <w:basedOn w:val="Normal"/>
    <w:link w:val="PiedepginaCar"/>
    <w:uiPriority w:val="99"/>
    <w:unhideWhenUsed/>
    <w:rsid w:val="005703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7035F"/>
  </w:style>
  <w:style w:type="paragraph" w:styleId="Textodeglobo">
    <w:name w:val="Balloon Text"/>
    <w:basedOn w:val="Normal"/>
    <w:link w:val="TextodegloboCar"/>
    <w:uiPriority w:val="99"/>
    <w:semiHidden/>
    <w:unhideWhenUsed/>
    <w:rsid w:val="00F7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A8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73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F7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8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B9D82-7C8E-4598-B406-C443BC0CE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1575</Words>
  <Characters>8667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10222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Héck</cp:lastModifiedBy>
  <cp:revision>21</cp:revision>
  <dcterms:created xsi:type="dcterms:W3CDTF">2016-05-26T18:36:00Z</dcterms:created>
  <dcterms:modified xsi:type="dcterms:W3CDTF">2016-05-26T19:45:00Z</dcterms:modified>
</cp:coreProperties>
</file>