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EEF" w:rsidRPr="00A83D63" w:rsidRDefault="00B201A7" w:rsidP="00A83D63">
      <w:pPr>
        <w:keepNext/>
        <w:keepLines/>
        <w:spacing w:before="40" w:after="0" w:line="360" w:lineRule="auto"/>
        <w:jc w:val="center"/>
        <w:outlineLvl w:val="1"/>
        <w:rPr>
          <w:rFonts w:ascii="Arial" w:eastAsiaTheme="majorEastAsia" w:hAnsi="Arial" w:cs="Arial"/>
          <w:noProof/>
          <w:u w:val="single"/>
          <w:lang w:eastAsia="es-MX"/>
        </w:rPr>
      </w:pPr>
      <w:r w:rsidRPr="00A83D63">
        <w:rPr>
          <w:rFonts w:ascii="Arial" w:eastAsiaTheme="majorEastAsia" w:hAnsi="Arial" w:cs="Arial"/>
          <w:noProof/>
          <w:u w:val="single"/>
          <w:lang w:eastAsia="es-MX"/>
        </w:rPr>
        <w:t>FUNDAMENTOS JURÍDICOS DE LA ADMINISTRACIÓN PÚBLICA</w:t>
      </w:r>
    </w:p>
    <w:p w:rsidR="00D47EEF" w:rsidRPr="00A83D63" w:rsidRDefault="00D47EEF" w:rsidP="00A83D63">
      <w:pPr>
        <w:spacing w:line="360" w:lineRule="auto"/>
        <w:jc w:val="center"/>
        <w:rPr>
          <w:rFonts w:ascii="Arial" w:hAnsi="Arial" w:cs="Arial"/>
          <w:lang w:eastAsia="es-MX"/>
        </w:rPr>
      </w:pPr>
    </w:p>
    <w:p w:rsidR="00B201A7" w:rsidRPr="00A83D63" w:rsidRDefault="00B201A7" w:rsidP="00A83D63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eastAsiaTheme="majorEastAsia" w:hAnsi="Arial" w:cs="Arial"/>
          <w:b/>
          <w:noProof/>
          <w:sz w:val="22"/>
          <w:szCs w:val="22"/>
        </w:rPr>
      </w:pPr>
      <w:r w:rsidRPr="00A83D63">
        <w:rPr>
          <w:rFonts w:ascii="Arial" w:eastAsiaTheme="majorEastAsia" w:hAnsi="Arial" w:cs="Arial"/>
          <w:b/>
          <w:noProof/>
          <w:sz w:val="22"/>
          <w:szCs w:val="22"/>
        </w:rPr>
        <w:t>ACTIVIDAD 2. ANÁ</w:t>
      </w:r>
      <w:r w:rsidR="00944540" w:rsidRPr="00A83D63">
        <w:rPr>
          <w:rFonts w:ascii="Arial" w:eastAsiaTheme="majorEastAsia" w:hAnsi="Arial" w:cs="Arial"/>
          <w:b/>
          <w:noProof/>
          <w:sz w:val="22"/>
          <w:szCs w:val="22"/>
        </w:rPr>
        <w:t>LISIS DE LECTURAS</w:t>
      </w:r>
    </w:p>
    <w:p w:rsidR="00944540" w:rsidRPr="00A83D63" w:rsidRDefault="00944540" w:rsidP="00A83D63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eastAsiaTheme="majorEastAsia" w:hAnsi="Arial" w:cs="Arial"/>
          <w:b/>
          <w:noProof/>
          <w:sz w:val="22"/>
          <w:szCs w:val="22"/>
        </w:rPr>
      </w:pPr>
    </w:p>
    <w:p w:rsidR="00B201A7" w:rsidRPr="00A83D63" w:rsidRDefault="00B201A7" w:rsidP="00A83D63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  <w:u w:val="single"/>
        </w:rPr>
      </w:pPr>
      <w:r w:rsidRPr="00A83D63">
        <w:rPr>
          <w:rFonts w:ascii="Arial" w:eastAsiaTheme="majorEastAsia" w:hAnsi="Arial" w:cs="Arial"/>
          <w:b/>
          <w:noProof/>
          <w:sz w:val="22"/>
          <w:szCs w:val="22"/>
          <w:u w:val="single"/>
        </w:rPr>
        <w:t>H</w:t>
      </w:r>
      <w:r w:rsidRPr="00A83D63">
        <w:rPr>
          <w:rFonts w:ascii="Arial" w:hAnsi="Arial" w:cs="Arial"/>
          <w:b/>
          <w:color w:val="222222"/>
          <w:sz w:val="22"/>
          <w:szCs w:val="22"/>
          <w:u w:val="single"/>
        </w:rPr>
        <w:t>ERNÁNDEZ SÁNCHEZ MÓNICA ALEJANDRA, LA ADMINISTRACIÓN PÚBLICA.</w:t>
      </w:r>
    </w:p>
    <w:p w:rsidR="00B201A7" w:rsidRPr="00A83D63" w:rsidRDefault="00B201A7" w:rsidP="00A83D63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  <w:u w:val="single"/>
        </w:rPr>
      </w:pPr>
      <w:r w:rsidRPr="00A83D63">
        <w:rPr>
          <w:rFonts w:ascii="Arial" w:hAnsi="Arial" w:cs="Arial"/>
          <w:b/>
          <w:color w:val="222222"/>
          <w:sz w:val="22"/>
          <w:szCs w:val="22"/>
          <w:u w:val="single"/>
        </w:rPr>
        <w:t>SOUSA MARIANA, EL ESTADO DE LAS REFORMAS AL ESTADO EN AMÉRICA LATINA.</w:t>
      </w:r>
    </w:p>
    <w:p w:rsidR="00944540" w:rsidRPr="00A83D63" w:rsidRDefault="00944540" w:rsidP="00A83D63">
      <w:pPr>
        <w:spacing w:line="360" w:lineRule="auto"/>
        <w:jc w:val="center"/>
        <w:rPr>
          <w:rFonts w:ascii="Arial" w:hAnsi="Arial" w:cs="Arial"/>
          <w:lang w:eastAsia="es-MX"/>
        </w:rPr>
      </w:pPr>
    </w:p>
    <w:p w:rsidR="00D47EEF" w:rsidRPr="00A83D63" w:rsidRDefault="00D47EEF" w:rsidP="00A83D63">
      <w:pPr>
        <w:spacing w:line="360" w:lineRule="auto"/>
        <w:jc w:val="center"/>
        <w:rPr>
          <w:rFonts w:ascii="Arial" w:hAnsi="Arial" w:cs="Arial"/>
          <w:lang w:eastAsia="es-MX"/>
        </w:rPr>
      </w:pPr>
    </w:p>
    <w:p w:rsidR="00D47EEF" w:rsidRPr="00A83D63" w:rsidRDefault="00D47EEF" w:rsidP="00A83D63">
      <w:pPr>
        <w:keepNext/>
        <w:keepLines/>
        <w:spacing w:before="4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  <w:r w:rsidRPr="00A83D63">
        <w:rPr>
          <w:rFonts w:ascii="Arial" w:eastAsiaTheme="majorEastAsia" w:hAnsi="Arial" w:cs="Arial"/>
          <w:b/>
          <w:noProof/>
          <w:lang w:eastAsia="es-MX"/>
        </w:rPr>
        <w:t>CATEDRÁTICO:</w:t>
      </w:r>
    </w:p>
    <w:p w:rsidR="00D47EEF" w:rsidRPr="00A83D63" w:rsidRDefault="00B201A7" w:rsidP="00A83D63">
      <w:pPr>
        <w:keepNext/>
        <w:keepLines/>
        <w:spacing w:before="4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  <w:r w:rsidRPr="00A83D63">
        <w:rPr>
          <w:rFonts w:ascii="Arial" w:eastAsiaTheme="majorEastAsia" w:hAnsi="Arial" w:cs="Arial"/>
          <w:b/>
          <w:noProof/>
          <w:lang w:eastAsia="es-MX"/>
        </w:rPr>
        <w:t xml:space="preserve">DRA. </w:t>
      </w:r>
      <w:r w:rsidRPr="00A83D63">
        <w:rPr>
          <w:rFonts w:ascii="Arial" w:hAnsi="Arial" w:cs="Arial"/>
          <w:b/>
          <w:shd w:val="clear" w:color="auto" w:fill="FFFFCC"/>
        </w:rPr>
        <w:t>LUCIA GUADALUPE ONTIVEROS</w:t>
      </w:r>
    </w:p>
    <w:p w:rsidR="00D47EEF" w:rsidRPr="00A83D63" w:rsidRDefault="00D47EEF" w:rsidP="00A83D63">
      <w:pPr>
        <w:spacing w:line="360" w:lineRule="auto"/>
        <w:jc w:val="center"/>
        <w:rPr>
          <w:rFonts w:ascii="Arial" w:hAnsi="Arial" w:cs="Arial"/>
          <w:b/>
          <w:lang w:eastAsia="es-MX"/>
        </w:rPr>
      </w:pPr>
    </w:p>
    <w:p w:rsidR="00D47EEF" w:rsidRPr="00A83D63" w:rsidRDefault="00D47EEF" w:rsidP="00A83D63">
      <w:pPr>
        <w:spacing w:line="360" w:lineRule="auto"/>
        <w:jc w:val="center"/>
        <w:rPr>
          <w:rFonts w:ascii="Arial" w:hAnsi="Arial" w:cs="Arial"/>
          <w:b/>
          <w:lang w:eastAsia="es-MX"/>
        </w:rPr>
      </w:pPr>
    </w:p>
    <w:p w:rsidR="00D47EEF" w:rsidRPr="00A83D63" w:rsidRDefault="00D47EEF" w:rsidP="00A83D63">
      <w:pPr>
        <w:keepNext/>
        <w:keepLines/>
        <w:spacing w:before="4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  <w:r w:rsidRPr="00A83D63">
        <w:rPr>
          <w:rFonts w:ascii="Arial" w:eastAsiaTheme="majorEastAsia" w:hAnsi="Arial" w:cs="Arial"/>
          <w:b/>
          <w:noProof/>
          <w:lang w:eastAsia="es-MX"/>
        </w:rPr>
        <w:t>ELABORÓ:</w:t>
      </w:r>
    </w:p>
    <w:p w:rsidR="00D47EEF" w:rsidRPr="00A83D63" w:rsidRDefault="00D47EEF" w:rsidP="00A83D63">
      <w:pPr>
        <w:keepNext/>
        <w:keepLines/>
        <w:spacing w:before="4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  <w:r w:rsidRPr="00A83D63">
        <w:rPr>
          <w:rFonts w:ascii="Arial" w:eastAsiaTheme="majorEastAsia" w:hAnsi="Arial" w:cs="Arial"/>
          <w:b/>
          <w:noProof/>
          <w:lang w:eastAsia="es-MX"/>
        </w:rPr>
        <w:t>LAE. JOHANA KAREN HERNÁNDEZ RUIZ</w:t>
      </w:r>
    </w:p>
    <w:p w:rsidR="00D47EEF" w:rsidRPr="00A83D63" w:rsidRDefault="00D47EEF" w:rsidP="00A83D63">
      <w:pPr>
        <w:keepNext/>
        <w:keepLines/>
        <w:tabs>
          <w:tab w:val="left" w:pos="1050"/>
        </w:tabs>
        <w:spacing w:before="4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</w:p>
    <w:p w:rsidR="00944540" w:rsidRPr="00A83D63" w:rsidRDefault="00944540" w:rsidP="00A83D63">
      <w:pPr>
        <w:keepNext/>
        <w:keepLines/>
        <w:tabs>
          <w:tab w:val="left" w:pos="1050"/>
        </w:tabs>
        <w:spacing w:before="4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</w:p>
    <w:p w:rsidR="00944540" w:rsidRPr="00A83D63" w:rsidRDefault="00944540" w:rsidP="00A83D63">
      <w:pPr>
        <w:keepNext/>
        <w:keepLines/>
        <w:tabs>
          <w:tab w:val="left" w:pos="1050"/>
        </w:tabs>
        <w:spacing w:before="4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</w:p>
    <w:p w:rsidR="00944540" w:rsidRPr="00A83D63" w:rsidRDefault="00944540" w:rsidP="00A83D63">
      <w:pPr>
        <w:keepNext/>
        <w:keepLines/>
        <w:tabs>
          <w:tab w:val="left" w:pos="1050"/>
        </w:tabs>
        <w:spacing w:before="4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</w:p>
    <w:p w:rsidR="00D47EEF" w:rsidRPr="00A83D63" w:rsidRDefault="00D47EEF" w:rsidP="00A83D63">
      <w:pPr>
        <w:spacing w:line="360" w:lineRule="auto"/>
        <w:jc w:val="center"/>
        <w:rPr>
          <w:rFonts w:ascii="Arial" w:hAnsi="Arial" w:cs="Arial"/>
          <w:lang w:eastAsia="es-MX"/>
        </w:rPr>
      </w:pPr>
    </w:p>
    <w:p w:rsidR="00D47EEF" w:rsidRPr="00A83D63" w:rsidRDefault="00B201A7" w:rsidP="00A83D63">
      <w:pPr>
        <w:keepNext/>
        <w:keepLines/>
        <w:spacing w:before="40" w:after="0" w:line="360" w:lineRule="auto"/>
        <w:jc w:val="center"/>
        <w:outlineLvl w:val="1"/>
        <w:rPr>
          <w:rFonts w:ascii="Arial" w:eastAsiaTheme="majorEastAsia" w:hAnsi="Arial" w:cs="Arial"/>
          <w:noProof/>
          <w:lang w:eastAsia="es-MX"/>
        </w:rPr>
      </w:pPr>
      <w:r w:rsidRPr="00A83D63">
        <w:rPr>
          <w:rFonts w:ascii="Arial" w:eastAsiaTheme="majorEastAsia" w:hAnsi="Arial" w:cs="Arial"/>
          <w:noProof/>
          <w:lang w:eastAsia="es-MX"/>
        </w:rPr>
        <w:t>T</w:t>
      </w:r>
      <w:r w:rsidR="00D47EEF" w:rsidRPr="00A83D63">
        <w:rPr>
          <w:rFonts w:ascii="Arial" w:eastAsiaTheme="majorEastAsia" w:hAnsi="Arial" w:cs="Arial"/>
          <w:noProof/>
          <w:lang w:eastAsia="es-MX"/>
        </w:rPr>
        <w:t xml:space="preserve">UXTLA GUTIERREZ, CHIAPAS; </w:t>
      </w:r>
      <w:r w:rsidR="00176CA9" w:rsidRPr="00A83D63">
        <w:rPr>
          <w:rFonts w:ascii="Arial" w:eastAsiaTheme="majorEastAsia" w:hAnsi="Arial" w:cs="Arial"/>
          <w:noProof/>
          <w:lang w:eastAsia="es-MX"/>
        </w:rPr>
        <w:t>MAYO</w:t>
      </w:r>
      <w:r w:rsidR="00D47EEF" w:rsidRPr="00A83D63">
        <w:rPr>
          <w:rFonts w:ascii="Arial" w:eastAsiaTheme="majorEastAsia" w:hAnsi="Arial" w:cs="Arial"/>
          <w:noProof/>
          <w:lang w:eastAsia="es-MX"/>
        </w:rPr>
        <w:t xml:space="preserve"> DE 2015</w:t>
      </w:r>
    </w:p>
    <w:p w:rsidR="00D47EEF" w:rsidRPr="00A83D63" w:rsidRDefault="00D47EEF" w:rsidP="00A83D63">
      <w:pPr>
        <w:pStyle w:val="NormalWeb"/>
        <w:shd w:val="clear" w:color="auto" w:fill="FFFFFF"/>
        <w:spacing w:line="360" w:lineRule="auto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971985" w:rsidRPr="00A83D63" w:rsidRDefault="005858A0" w:rsidP="00A83D6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A83D63">
        <w:rPr>
          <w:rFonts w:ascii="Arial" w:hAnsi="Arial" w:cs="Arial"/>
          <w:b/>
          <w:sz w:val="22"/>
          <w:szCs w:val="22"/>
          <w:u w:val="single"/>
        </w:rPr>
        <w:lastRenderedPageBreak/>
        <w:t>EL ESTADO DE LAS REFORMAS DEL ESTADO EN AMÉRICA LATINA</w:t>
      </w:r>
    </w:p>
    <w:p w:rsidR="00A12981" w:rsidRPr="00A83D63" w:rsidRDefault="00A12981" w:rsidP="00A83D6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8501D" w:rsidRPr="00A83D63" w:rsidRDefault="00C8501D" w:rsidP="00A83D6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 xml:space="preserve">Durante esta lectura se pudo conocer que desde </w:t>
      </w:r>
      <w:r w:rsidRPr="00A83D63">
        <w:rPr>
          <w:rFonts w:ascii="Arial" w:hAnsi="Arial" w:cs="Arial"/>
          <w:sz w:val="22"/>
          <w:szCs w:val="22"/>
        </w:rPr>
        <w:t>1985, los países latinoamericanos han pasado por un importante proceso de reforma judicial</w:t>
      </w:r>
      <w:r w:rsidRPr="00A83D63">
        <w:rPr>
          <w:rFonts w:ascii="Arial" w:hAnsi="Arial" w:cs="Arial"/>
          <w:sz w:val="22"/>
          <w:szCs w:val="22"/>
        </w:rPr>
        <w:t>, por lo que las demandas de cambio han venido de varias fuentes que van desde intereses políticos hasta la falta de confianza de los medios y la opinión pública con los sectores judiciales.</w:t>
      </w:r>
    </w:p>
    <w:p w:rsidR="005858A0" w:rsidRPr="00A83D63" w:rsidRDefault="00A83D63" w:rsidP="00A83D6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Con el</w:t>
      </w:r>
      <w:r w:rsidR="005858A0" w:rsidRPr="00A83D63">
        <w:rPr>
          <w:rFonts w:ascii="Arial" w:hAnsi="Arial" w:cs="Arial"/>
          <w:sz w:val="22"/>
          <w:szCs w:val="22"/>
        </w:rPr>
        <w:t xml:space="preserve"> contexto de democratización y liberalización económica, las reformas buscaron lograr sistemas judiciales más eficientes, independientes y responsables, mediante medidas tales como la incorporación de nuevas tecnologías y sistemas de información, la implementación de métodos de capacitación para la profesionalización de los estrados judiciales, la modernización de códigos de procedimiento y la creación de nuevos tribunales</w:t>
      </w:r>
      <w:r w:rsidR="00C8501D" w:rsidRPr="00A83D63">
        <w:rPr>
          <w:rStyle w:val="Refdenotaalpie"/>
          <w:rFonts w:ascii="Arial" w:hAnsi="Arial" w:cs="Arial"/>
          <w:sz w:val="22"/>
          <w:szCs w:val="22"/>
        </w:rPr>
        <w:footnoteReference w:id="1"/>
      </w:r>
      <w:r w:rsidR="00C8501D" w:rsidRPr="00A83D63">
        <w:rPr>
          <w:rFonts w:ascii="Arial" w:hAnsi="Arial" w:cs="Arial"/>
          <w:sz w:val="22"/>
          <w:szCs w:val="22"/>
        </w:rPr>
        <w:t>.</w:t>
      </w:r>
    </w:p>
    <w:p w:rsidR="002D764E" w:rsidRPr="00A83D63" w:rsidRDefault="002D764E" w:rsidP="00A83D6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Para mejorar los procedimientos de seleccionar y promover jueces, así como para aumentar la independencia del sistema judicial mediante la administración de su presupuesto, muchos países latinoamericanos decidieron seguir el modelo europeo de establecer consejos judiciales</w:t>
      </w:r>
    </w:p>
    <w:p w:rsidR="005858A0" w:rsidRPr="00A83D63" w:rsidRDefault="00C8501D" w:rsidP="00A83D6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La implementación de estas reformas reveló importantes dificultades para lograr simultáneamente todos los objetivos</w:t>
      </w:r>
      <w:r w:rsidRPr="00A83D63">
        <w:rPr>
          <w:rFonts w:ascii="Arial" w:hAnsi="Arial" w:cs="Arial"/>
          <w:sz w:val="22"/>
          <w:szCs w:val="22"/>
        </w:rPr>
        <w:t>.</w:t>
      </w:r>
    </w:p>
    <w:p w:rsidR="00A83D63" w:rsidRPr="00A83D63" w:rsidRDefault="00A83D63" w:rsidP="00A83D6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Los factores de la reforma judicial</w:t>
      </w:r>
      <w:r w:rsidRPr="00A83D63">
        <w:rPr>
          <w:rFonts w:ascii="Arial" w:hAnsi="Arial" w:cs="Arial"/>
          <w:sz w:val="22"/>
          <w:szCs w:val="22"/>
        </w:rPr>
        <w:t>.</w:t>
      </w:r>
    </w:p>
    <w:p w:rsidR="00A83D63" w:rsidRPr="00A83D63" w:rsidRDefault="00A83D63" w:rsidP="00A83D63">
      <w:pPr>
        <w:pStyle w:val="NormalWeb"/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 xml:space="preserve">Calidad y educación Factor </w:t>
      </w:r>
    </w:p>
    <w:p w:rsidR="00A83D63" w:rsidRPr="00A83D63" w:rsidRDefault="00A83D63" w:rsidP="00A83D63">
      <w:pPr>
        <w:pStyle w:val="NormalWeb"/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 xml:space="preserve">Poderes judiciales </w:t>
      </w:r>
    </w:p>
    <w:p w:rsidR="00A83D63" w:rsidRPr="00A83D63" w:rsidRDefault="00A83D63" w:rsidP="00A83D63">
      <w:pPr>
        <w:pStyle w:val="NormalWeb"/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Recursos financieros</w:t>
      </w:r>
    </w:p>
    <w:p w:rsidR="00A83D63" w:rsidRPr="00A83D63" w:rsidRDefault="00A83D63" w:rsidP="00A83D63">
      <w:pPr>
        <w:pStyle w:val="NormalWeb"/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Medidas preventivas</w:t>
      </w:r>
    </w:p>
    <w:p w:rsidR="00A83D63" w:rsidRPr="00A83D63" w:rsidRDefault="00A83D63" w:rsidP="00A83D63">
      <w:pPr>
        <w:pStyle w:val="NormalWeb"/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 xml:space="preserve">Responsabilidad y transparencia </w:t>
      </w:r>
    </w:p>
    <w:p w:rsidR="005858A0" w:rsidRPr="00A83D63" w:rsidRDefault="00A83D63" w:rsidP="00A83D63">
      <w:pPr>
        <w:pStyle w:val="NormalWeb"/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 xml:space="preserve">Eficiencia </w:t>
      </w:r>
    </w:p>
    <w:p w:rsidR="00CC1E50" w:rsidRPr="00A83D63" w:rsidRDefault="00971985" w:rsidP="00A83D6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b/>
          <w:sz w:val="22"/>
          <w:szCs w:val="22"/>
          <w:u w:val="single"/>
        </w:rPr>
        <w:lastRenderedPageBreak/>
        <w:t>LA ADMINISTRACIÓ</w:t>
      </w:r>
      <w:r w:rsidR="00E45509" w:rsidRPr="00A83D63">
        <w:rPr>
          <w:rFonts w:ascii="Arial" w:hAnsi="Arial" w:cs="Arial"/>
          <w:b/>
          <w:sz w:val="22"/>
          <w:szCs w:val="22"/>
          <w:u w:val="single"/>
        </w:rPr>
        <w:t xml:space="preserve">N </w:t>
      </w:r>
      <w:r w:rsidR="00CC1E50" w:rsidRPr="00A83D63">
        <w:rPr>
          <w:rFonts w:ascii="Arial" w:hAnsi="Arial" w:cs="Arial"/>
          <w:b/>
          <w:sz w:val="22"/>
          <w:szCs w:val="22"/>
          <w:u w:val="single"/>
        </w:rPr>
        <w:t>PÚBLICA</w:t>
      </w:r>
    </w:p>
    <w:p w:rsidR="00CC1E50" w:rsidRPr="00A83D63" w:rsidRDefault="00CC1E50" w:rsidP="00A83D6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En este tema se pudo conocer la definición, fundamento constitucional y formas de organización de la administración pública, de la cuela se comenta lo siguiente;</w:t>
      </w:r>
    </w:p>
    <w:p w:rsidR="00E45509" w:rsidRPr="00A83D63" w:rsidRDefault="00CC1E50" w:rsidP="00A83D63">
      <w:pPr>
        <w:pStyle w:val="NormalWeb"/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A83D63">
        <w:rPr>
          <w:rFonts w:ascii="Arial" w:hAnsi="Arial" w:cs="Arial"/>
          <w:sz w:val="22"/>
          <w:szCs w:val="22"/>
        </w:rPr>
        <w:t>Definición</w:t>
      </w:r>
    </w:p>
    <w:p w:rsidR="00CC1E50" w:rsidRPr="00A83D63" w:rsidRDefault="00CC1E50" w:rsidP="00321AFA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A83D63">
        <w:rPr>
          <w:rFonts w:ascii="Arial" w:hAnsi="Arial" w:cs="Arial"/>
          <w:sz w:val="22"/>
          <w:szCs w:val="22"/>
        </w:rPr>
        <w:t>Es la parte del Poder Ejecutivo, regulada por Derecho Administrativo tanto en su organización como en su actividad, es decir que es la parte más visible del gobierno.</w:t>
      </w:r>
    </w:p>
    <w:p w:rsidR="00CC1E50" w:rsidRPr="00A83D63" w:rsidRDefault="00CC1E50" w:rsidP="00A83D63">
      <w:pPr>
        <w:pStyle w:val="NormalWeb"/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A83D63">
        <w:rPr>
          <w:rFonts w:ascii="Arial" w:hAnsi="Arial" w:cs="Arial"/>
          <w:sz w:val="22"/>
          <w:szCs w:val="22"/>
        </w:rPr>
        <w:t>Fundamento Constitucional</w:t>
      </w:r>
    </w:p>
    <w:p w:rsidR="00CC1E50" w:rsidRPr="00A83D63" w:rsidRDefault="00CC1E50" w:rsidP="00A83D6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 xml:space="preserve">Se encuentra en el </w:t>
      </w:r>
      <w:r w:rsidRPr="00A83D63">
        <w:rPr>
          <w:rFonts w:ascii="Arial" w:hAnsi="Arial" w:cs="Arial"/>
          <w:color w:val="000000"/>
          <w:sz w:val="22"/>
          <w:szCs w:val="22"/>
        </w:rPr>
        <w:t>Artículo 90</w:t>
      </w:r>
      <w:r w:rsidRPr="00A83D63">
        <w:rPr>
          <w:rFonts w:ascii="Arial" w:hAnsi="Arial" w:cs="Arial"/>
          <w:color w:val="000000"/>
          <w:sz w:val="22"/>
          <w:szCs w:val="22"/>
        </w:rPr>
        <w:t xml:space="preserve"> de la Constitución Publica Federal</w:t>
      </w:r>
      <w:r w:rsidR="00A83D63" w:rsidRPr="00A83D63">
        <w:rPr>
          <w:rStyle w:val="Refdenotaalpie"/>
          <w:rFonts w:ascii="Arial" w:hAnsi="Arial" w:cs="Arial"/>
          <w:color w:val="000000"/>
          <w:sz w:val="22"/>
          <w:szCs w:val="22"/>
        </w:rPr>
        <w:footnoteReference w:id="2"/>
      </w:r>
      <w:r w:rsidRPr="00A83D63">
        <w:rPr>
          <w:rFonts w:ascii="Arial" w:hAnsi="Arial" w:cs="Arial"/>
          <w:color w:val="000000"/>
          <w:sz w:val="22"/>
          <w:szCs w:val="22"/>
        </w:rPr>
        <w:t xml:space="preserve">: </w:t>
      </w:r>
      <w:r w:rsidRPr="00A83D63">
        <w:rPr>
          <w:rFonts w:ascii="Arial" w:hAnsi="Arial" w:cs="Arial"/>
          <w:color w:val="000000"/>
          <w:sz w:val="22"/>
          <w:szCs w:val="22"/>
        </w:rPr>
        <w:t xml:space="preserve">La administración </w:t>
      </w:r>
      <w:r w:rsidRPr="00A83D63">
        <w:rPr>
          <w:rFonts w:ascii="Arial" w:hAnsi="Arial" w:cs="Arial"/>
          <w:color w:val="000000"/>
          <w:sz w:val="22"/>
          <w:szCs w:val="22"/>
        </w:rPr>
        <w:t>pública</w:t>
      </w:r>
      <w:r w:rsidRPr="00A83D63">
        <w:rPr>
          <w:rFonts w:ascii="Arial" w:hAnsi="Arial" w:cs="Arial"/>
          <w:color w:val="000000"/>
          <w:sz w:val="22"/>
          <w:szCs w:val="22"/>
        </w:rPr>
        <w:t xml:space="preserve"> federal será centralizada y paraestatal conforme a la ley orgánica que expida el congreso, que distribuirá los negocios del orden administrativo de la federación que estarán a cargo de las secretarias de estado y departamentos administrativos y definirá las bases generales de creación de las entidades paraestatales y la intervención del ejecutivo federal en su operación.</w:t>
      </w:r>
    </w:p>
    <w:p w:rsidR="00CC1E50" w:rsidRPr="00A83D63" w:rsidRDefault="00CC1E50" w:rsidP="00A83D6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A83D63">
        <w:rPr>
          <w:rFonts w:ascii="Arial" w:hAnsi="Arial" w:cs="Arial"/>
          <w:color w:val="000000"/>
          <w:sz w:val="22"/>
          <w:szCs w:val="22"/>
        </w:rPr>
        <w:t>Las leyes determinaran las relaciones entre las entidades paraestatales y el ejecutivo federal, o entre estas y las secretarias de estado y departamentos administrativos.</w:t>
      </w:r>
    </w:p>
    <w:p w:rsidR="00CC1E50" w:rsidRPr="00A83D63" w:rsidRDefault="00CC1E50" w:rsidP="00A83D63">
      <w:pPr>
        <w:pStyle w:val="NormalWeb"/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A83D63">
        <w:rPr>
          <w:rFonts w:ascii="Arial" w:hAnsi="Arial" w:cs="Arial"/>
          <w:sz w:val="22"/>
          <w:szCs w:val="22"/>
        </w:rPr>
        <w:t>Formas de organización</w:t>
      </w:r>
    </w:p>
    <w:p w:rsidR="00CC1E50" w:rsidRPr="00A83D63" w:rsidRDefault="005809BA" w:rsidP="00A83D63">
      <w:pPr>
        <w:pStyle w:val="NormalWeb"/>
        <w:numPr>
          <w:ilvl w:val="0"/>
          <w:numId w:val="15"/>
        </w:num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La concentración administrativa</w:t>
      </w:r>
    </w:p>
    <w:p w:rsidR="00E72DE9" w:rsidRPr="00A83D63" w:rsidRDefault="00E72DE9" w:rsidP="00A83D63">
      <w:pPr>
        <w:pStyle w:val="NormalWeb"/>
        <w:shd w:val="clear" w:color="auto" w:fill="FFFFFF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Es reunir en un órgano central lo que está disperso, es decir en el gobierno, se debe informar y obedecer las instrucciones que el órgano central establezca, sin importar jerarquías.</w:t>
      </w:r>
    </w:p>
    <w:p w:rsidR="005809BA" w:rsidRPr="00A83D63" w:rsidRDefault="005809BA" w:rsidP="00A83D63">
      <w:pPr>
        <w:pStyle w:val="NormalWeb"/>
        <w:numPr>
          <w:ilvl w:val="0"/>
          <w:numId w:val="15"/>
        </w:num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La desconcentración administrativa</w:t>
      </w:r>
    </w:p>
    <w:p w:rsidR="00E72DE9" w:rsidRPr="00A83D63" w:rsidRDefault="00E72DE9" w:rsidP="00A83D63">
      <w:pPr>
        <w:pStyle w:val="NormalWeb"/>
        <w:shd w:val="clear" w:color="auto" w:fill="FFFFFF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Esparce el ejercicio de las facultades decisorias de al administración pública que asigna a  órganos inferiores (seudo-administración).</w:t>
      </w:r>
    </w:p>
    <w:p w:rsidR="00E72DE9" w:rsidRPr="00A83D63" w:rsidRDefault="00E72DE9" w:rsidP="00A83D63">
      <w:pPr>
        <w:pStyle w:val="NormalWeb"/>
        <w:shd w:val="clear" w:color="auto" w:fill="FFFFFF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lastRenderedPageBreak/>
        <w:t xml:space="preserve">Algunas características son: carecen de personalidad jurídica, tiene asignado un </w:t>
      </w:r>
      <w:r w:rsidR="001F0265" w:rsidRPr="00A83D63">
        <w:rPr>
          <w:rFonts w:ascii="Arial" w:hAnsi="Arial" w:cs="Arial"/>
          <w:sz w:val="22"/>
          <w:szCs w:val="22"/>
        </w:rPr>
        <w:t xml:space="preserve">determinado de bienes patrimoniales, tienen facultad decisoria en determinada materia o territorio, en la prestación de algún servicio público, y es creado mediante la Ley del Congreso o por acto del poder Ejecutivo, por lo que le es asignada un apartida presupuestal. </w:t>
      </w:r>
    </w:p>
    <w:p w:rsidR="005809BA" w:rsidRPr="00A83D63" w:rsidRDefault="005809BA" w:rsidP="00A83D63">
      <w:pPr>
        <w:pStyle w:val="NormalWeb"/>
        <w:numPr>
          <w:ilvl w:val="0"/>
          <w:numId w:val="15"/>
        </w:num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La centralización administrativa</w:t>
      </w:r>
    </w:p>
    <w:p w:rsidR="00E72DE9" w:rsidRPr="00A83D63" w:rsidRDefault="001F0265" w:rsidP="00A83D63">
      <w:pPr>
        <w:pStyle w:val="NormalWeb"/>
        <w:shd w:val="clear" w:color="auto" w:fill="FFFFFF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Es el conjunto de órganos que desempeñan la función administrativa y tiene que estar coordinados tanto en organización como en acción, vinculando entre si diversas formas y maneras.</w:t>
      </w:r>
    </w:p>
    <w:p w:rsidR="001F0265" w:rsidRPr="00A83D63" w:rsidRDefault="001F0265" w:rsidP="00A83D63">
      <w:pPr>
        <w:pStyle w:val="NormalWeb"/>
        <w:shd w:val="clear" w:color="auto" w:fill="FFFFFF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 xml:space="preserve">Algunas </w:t>
      </w:r>
      <w:r w:rsidR="00695CD8" w:rsidRPr="00A83D63">
        <w:rPr>
          <w:rFonts w:ascii="Arial" w:hAnsi="Arial" w:cs="Arial"/>
          <w:sz w:val="22"/>
          <w:szCs w:val="22"/>
        </w:rPr>
        <w:t>características</w:t>
      </w:r>
      <w:r w:rsidRPr="00A83D63">
        <w:rPr>
          <w:rFonts w:ascii="Arial" w:hAnsi="Arial" w:cs="Arial"/>
          <w:sz w:val="22"/>
          <w:szCs w:val="22"/>
        </w:rPr>
        <w:t xml:space="preserve"> de la centralización son las siguientes:</w:t>
      </w:r>
    </w:p>
    <w:p w:rsidR="001F0265" w:rsidRPr="00A83D63" w:rsidRDefault="001F0265" w:rsidP="00A83D63">
      <w:pPr>
        <w:pStyle w:val="NormalWeb"/>
        <w:numPr>
          <w:ilvl w:val="0"/>
          <w:numId w:val="26"/>
        </w:num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Poder de nombramiento</w:t>
      </w:r>
    </w:p>
    <w:p w:rsidR="001F0265" w:rsidRPr="00A83D63" w:rsidRDefault="001F0265" w:rsidP="00A83D63">
      <w:pPr>
        <w:pStyle w:val="NormalWeb"/>
        <w:numPr>
          <w:ilvl w:val="0"/>
          <w:numId w:val="26"/>
        </w:num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Poder de remoción</w:t>
      </w:r>
    </w:p>
    <w:p w:rsidR="001F0265" w:rsidRPr="00A83D63" w:rsidRDefault="001F0265" w:rsidP="00A83D63">
      <w:pPr>
        <w:pStyle w:val="NormalWeb"/>
        <w:numPr>
          <w:ilvl w:val="0"/>
          <w:numId w:val="26"/>
        </w:num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Poder de mando</w:t>
      </w:r>
    </w:p>
    <w:p w:rsidR="001F0265" w:rsidRPr="00A83D63" w:rsidRDefault="001F0265" w:rsidP="00A83D63">
      <w:pPr>
        <w:pStyle w:val="NormalWeb"/>
        <w:numPr>
          <w:ilvl w:val="0"/>
          <w:numId w:val="26"/>
        </w:num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Poder de decisión</w:t>
      </w:r>
    </w:p>
    <w:p w:rsidR="00695CD8" w:rsidRPr="00A83D63" w:rsidRDefault="00695CD8" w:rsidP="00A83D63">
      <w:pPr>
        <w:pStyle w:val="NormalWeb"/>
        <w:numPr>
          <w:ilvl w:val="0"/>
          <w:numId w:val="26"/>
        </w:num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Poder disciplinario</w:t>
      </w:r>
    </w:p>
    <w:p w:rsidR="001F0265" w:rsidRPr="00A83D63" w:rsidRDefault="001F0265" w:rsidP="00A83D63">
      <w:pPr>
        <w:pStyle w:val="NormalWeb"/>
        <w:numPr>
          <w:ilvl w:val="0"/>
          <w:numId w:val="26"/>
        </w:num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Poder de vigilancia</w:t>
      </w:r>
    </w:p>
    <w:p w:rsidR="001F0265" w:rsidRPr="00A83D63" w:rsidRDefault="001F0265" w:rsidP="00A83D63">
      <w:pPr>
        <w:pStyle w:val="NormalWeb"/>
        <w:numPr>
          <w:ilvl w:val="0"/>
          <w:numId w:val="26"/>
        </w:num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 xml:space="preserve">Poder de </w:t>
      </w:r>
      <w:r w:rsidR="00695CD8" w:rsidRPr="00A83D63">
        <w:rPr>
          <w:rFonts w:ascii="Arial" w:hAnsi="Arial" w:cs="Arial"/>
          <w:sz w:val="22"/>
          <w:szCs w:val="22"/>
        </w:rPr>
        <w:t>revisión</w:t>
      </w:r>
    </w:p>
    <w:p w:rsidR="00695CD8" w:rsidRPr="00A83D63" w:rsidRDefault="00695CD8" w:rsidP="00A83D63">
      <w:pPr>
        <w:pStyle w:val="NormalWeb"/>
        <w:numPr>
          <w:ilvl w:val="0"/>
          <w:numId w:val="26"/>
        </w:num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Poder de resolver conflictos de competencia</w:t>
      </w:r>
    </w:p>
    <w:p w:rsidR="005809BA" w:rsidRPr="00A83D63" w:rsidRDefault="005809BA" w:rsidP="00A83D63">
      <w:pPr>
        <w:pStyle w:val="NormalWeb"/>
        <w:numPr>
          <w:ilvl w:val="0"/>
          <w:numId w:val="15"/>
        </w:num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La descentralización administrativa</w:t>
      </w:r>
    </w:p>
    <w:p w:rsidR="00695CD8" w:rsidRPr="00A83D63" w:rsidRDefault="00695CD8" w:rsidP="00A83D63">
      <w:pPr>
        <w:pStyle w:val="NormalWeb"/>
        <w:shd w:val="clear" w:color="auto" w:fill="FFFFFF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 xml:space="preserve">Transferir a diversas corporaciones u oficios parte de la autoridad que antes ejercía el órgano supremo del </w:t>
      </w:r>
      <w:r w:rsidRPr="00A83D63">
        <w:rPr>
          <w:rFonts w:ascii="Arial" w:hAnsi="Arial" w:cs="Arial"/>
          <w:sz w:val="22"/>
          <w:szCs w:val="22"/>
        </w:rPr>
        <w:t>Estado, es decir la Administración Pública Centralizada.</w:t>
      </w:r>
    </w:p>
    <w:p w:rsidR="00695CD8" w:rsidRPr="00A83D63" w:rsidRDefault="00695CD8" w:rsidP="00A83D63">
      <w:pPr>
        <w:pStyle w:val="NormalWeb"/>
        <w:shd w:val="clear" w:color="auto" w:fill="FFFFFF"/>
        <w:spacing w:line="360" w:lineRule="auto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A83D63">
        <w:rPr>
          <w:rFonts w:ascii="Arial" w:hAnsi="Arial" w:cs="Arial"/>
          <w:color w:val="222222"/>
          <w:sz w:val="22"/>
          <w:szCs w:val="22"/>
        </w:rPr>
        <w:t>M</w:t>
      </w:r>
      <w:r w:rsidRPr="00A83D63">
        <w:rPr>
          <w:rFonts w:ascii="Arial" w:hAnsi="Arial" w:cs="Arial"/>
          <w:color w:val="222222"/>
          <w:sz w:val="22"/>
          <w:szCs w:val="22"/>
        </w:rPr>
        <w:t>oda</w:t>
      </w:r>
      <w:r w:rsidRPr="00A83D63">
        <w:rPr>
          <w:rFonts w:ascii="Arial" w:hAnsi="Arial" w:cs="Arial"/>
          <w:color w:val="222222"/>
          <w:sz w:val="22"/>
          <w:szCs w:val="22"/>
        </w:rPr>
        <w:t>lidades de la descentralización:</w:t>
      </w:r>
    </w:p>
    <w:p w:rsidR="00695CD8" w:rsidRPr="00A83D63" w:rsidRDefault="00695CD8" w:rsidP="00A83D6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P</w:t>
      </w:r>
      <w:r w:rsidRPr="00A83D63">
        <w:rPr>
          <w:rFonts w:ascii="Arial" w:hAnsi="Arial" w:cs="Arial"/>
          <w:sz w:val="22"/>
          <w:szCs w:val="22"/>
        </w:rPr>
        <w:t>or colaboración</w:t>
      </w:r>
    </w:p>
    <w:p w:rsidR="00695CD8" w:rsidRPr="00A83D63" w:rsidRDefault="00695CD8" w:rsidP="00A83D6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Por región</w:t>
      </w:r>
    </w:p>
    <w:p w:rsidR="00695CD8" w:rsidRPr="00A83D63" w:rsidRDefault="00695CD8" w:rsidP="00A83D6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Por servicio</w:t>
      </w:r>
    </w:p>
    <w:p w:rsidR="00695CD8" w:rsidRPr="00A83D63" w:rsidRDefault="00695CD8" w:rsidP="00A83D63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695CD8" w:rsidRPr="00A83D63" w:rsidRDefault="00695CD8" w:rsidP="00A83D63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Las principales características son:</w:t>
      </w:r>
    </w:p>
    <w:p w:rsidR="00695CD8" w:rsidRPr="00A83D63" w:rsidRDefault="00695CD8" w:rsidP="00A83D63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695CD8" w:rsidRPr="00A83D63" w:rsidRDefault="00695CD8" w:rsidP="00A83D6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 xml:space="preserve">Son organismos y no órganos </w:t>
      </w:r>
    </w:p>
    <w:p w:rsidR="00695CD8" w:rsidRPr="00A83D63" w:rsidRDefault="00695CD8" w:rsidP="00A83D6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lastRenderedPageBreak/>
        <w:t xml:space="preserve">Tiene  personalidad jurídica y patrimonio </w:t>
      </w:r>
      <w:r w:rsidR="0032287C" w:rsidRPr="00A83D63">
        <w:rPr>
          <w:rFonts w:ascii="Arial" w:hAnsi="Arial" w:cs="Arial"/>
          <w:sz w:val="22"/>
          <w:szCs w:val="22"/>
        </w:rPr>
        <w:t>propios</w:t>
      </w:r>
    </w:p>
    <w:p w:rsidR="0032287C" w:rsidRPr="00A83D63" w:rsidRDefault="0032287C" w:rsidP="00A83D6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 xml:space="preserve">Gozan de cierta autonomía </w:t>
      </w:r>
    </w:p>
    <w:p w:rsidR="0032287C" w:rsidRPr="00A83D63" w:rsidRDefault="0032287C" w:rsidP="00A83D6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Tiene  normatividad especifica</w:t>
      </w:r>
    </w:p>
    <w:p w:rsidR="00695CD8" w:rsidRPr="00A83D63" w:rsidRDefault="0032287C" w:rsidP="00A83D6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Cuentan con partida presupuestal la cuan deciden su uso y destino.</w:t>
      </w:r>
    </w:p>
    <w:p w:rsidR="0032287C" w:rsidRPr="00A83D63" w:rsidRDefault="0032287C" w:rsidP="00A83D6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apple-converted-space"/>
          <w:rFonts w:ascii="Arial" w:hAnsi="Arial" w:cs="Arial"/>
          <w:color w:val="222222"/>
          <w:sz w:val="22"/>
          <w:szCs w:val="22"/>
        </w:rPr>
      </w:pPr>
    </w:p>
    <w:p w:rsidR="005809BA" w:rsidRPr="00A83D63" w:rsidRDefault="005809BA" w:rsidP="00A83D6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apple-converted-space"/>
          <w:rFonts w:ascii="Arial" w:hAnsi="Arial" w:cs="Arial"/>
          <w:color w:val="222222"/>
          <w:sz w:val="22"/>
          <w:szCs w:val="22"/>
        </w:rPr>
      </w:pPr>
      <w:r w:rsidRPr="00A83D63">
        <w:rPr>
          <w:rStyle w:val="apple-converted-space"/>
          <w:rFonts w:ascii="Arial" w:hAnsi="Arial" w:cs="Arial"/>
          <w:color w:val="222222"/>
          <w:sz w:val="22"/>
          <w:szCs w:val="22"/>
        </w:rPr>
        <w:t>Después de realizar el análisis de las lecturas, se responden las siguientes preguntas:</w:t>
      </w:r>
    </w:p>
    <w:p w:rsidR="005809BA" w:rsidRPr="00A83D63" w:rsidRDefault="008A7432" w:rsidP="00A83D6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apple-converted-space"/>
          <w:rFonts w:ascii="Arial" w:hAnsi="Arial" w:cs="Arial"/>
          <w:color w:val="222222"/>
          <w:sz w:val="22"/>
          <w:szCs w:val="22"/>
        </w:rPr>
      </w:pPr>
      <w:r w:rsidRPr="00A83D63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</w:p>
    <w:p w:rsidR="008A7432" w:rsidRPr="00A83D63" w:rsidRDefault="00800E80" w:rsidP="00A83D6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A83D63">
        <w:rPr>
          <w:rFonts w:ascii="Arial" w:hAnsi="Arial" w:cs="Arial"/>
          <w:color w:val="222222"/>
          <w:sz w:val="22"/>
          <w:szCs w:val="22"/>
        </w:rPr>
        <w:t>¿Por qué</w:t>
      </w:r>
      <w:r w:rsidR="008A7432" w:rsidRPr="00A83D63">
        <w:rPr>
          <w:rFonts w:ascii="Arial" w:hAnsi="Arial" w:cs="Arial"/>
          <w:color w:val="222222"/>
          <w:sz w:val="22"/>
          <w:szCs w:val="22"/>
        </w:rPr>
        <w:t xml:space="preserve"> se precisa señalar que aunque la estructura y la actividad de la Administración Pública se ubican en el ámbito del Poder Ejecutivo, no impide que esté presente en los órganos Legislativo y Judicial?</w:t>
      </w:r>
    </w:p>
    <w:p w:rsidR="00971985" w:rsidRPr="00A83D63" w:rsidRDefault="00971985" w:rsidP="00A83D6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22222"/>
          <w:sz w:val="22"/>
          <w:szCs w:val="22"/>
        </w:rPr>
      </w:pPr>
    </w:p>
    <w:p w:rsidR="00971985" w:rsidRPr="00A83D63" w:rsidRDefault="00971985" w:rsidP="00A83D6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22222"/>
          <w:sz w:val="22"/>
          <w:szCs w:val="22"/>
        </w:rPr>
      </w:pPr>
      <w:r w:rsidRPr="00A83D63">
        <w:rPr>
          <w:rFonts w:ascii="Arial" w:hAnsi="Arial" w:cs="Arial"/>
          <w:color w:val="222222"/>
          <w:sz w:val="22"/>
          <w:szCs w:val="22"/>
        </w:rPr>
        <w:t>Aunque estén en menor cuantía y porque lo acredita la secretaría de servicios Administrativos del senado de la Republica, y del consejo de la Judicatura federal en el ámbito del Poder Judicial.</w:t>
      </w:r>
    </w:p>
    <w:p w:rsidR="005809BA" w:rsidRPr="00A83D63" w:rsidRDefault="005809BA" w:rsidP="00A83D6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22222"/>
          <w:sz w:val="22"/>
          <w:szCs w:val="22"/>
        </w:rPr>
      </w:pPr>
    </w:p>
    <w:p w:rsidR="008A7432" w:rsidRPr="00A83D63" w:rsidRDefault="008A7432" w:rsidP="00A83D6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A83D63">
        <w:rPr>
          <w:rFonts w:ascii="Arial" w:hAnsi="Arial" w:cs="Arial"/>
          <w:color w:val="222222"/>
          <w:sz w:val="22"/>
          <w:szCs w:val="22"/>
        </w:rPr>
        <w:t>¿Cuáles son las formas de organización administrativa?</w:t>
      </w:r>
      <w:bookmarkStart w:id="0" w:name="_GoBack"/>
      <w:bookmarkEnd w:id="0"/>
    </w:p>
    <w:p w:rsidR="005809BA" w:rsidRPr="00A83D63" w:rsidRDefault="005809BA" w:rsidP="00A83D6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22222"/>
          <w:sz w:val="22"/>
          <w:szCs w:val="22"/>
        </w:rPr>
      </w:pPr>
    </w:p>
    <w:p w:rsidR="005809BA" w:rsidRPr="00A83D63" w:rsidRDefault="005809BA" w:rsidP="00A83D6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22222"/>
          <w:sz w:val="22"/>
          <w:szCs w:val="22"/>
        </w:rPr>
      </w:pPr>
      <w:r w:rsidRPr="00A83D63">
        <w:rPr>
          <w:rFonts w:ascii="Arial" w:hAnsi="Arial" w:cs="Arial"/>
          <w:color w:val="222222"/>
          <w:sz w:val="22"/>
          <w:szCs w:val="22"/>
        </w:rPr>
        <w:t>La concentración administrativa</w:t>
      </w:r>
    </w:p>
    <w:p w:rsidR="005809BA" w:rsidRPr="00A83D63" w:rsidRDefault="005809BA" w:rsidP="00A83D6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22222"/>
          <w:sz w:val="22"/>
          <w:szCs w:val="22"/>
        </w:rPr>
      </w:pPr>
      <w:r w:rsidRPr="00A83D63">
        <w:rPr>
          <w:rFonts w:ascii="Arial" w:hAnsi="Arial" w:cs="Arial"/>
          <w:color w:val="222222"/>
          <w:sz w:val="22"/>
          <w:szCs w:val="22"/>
        </w:rPr>
        <w:t>La desconcentración administrativa</w:t>
      </w:r>
    </w:p>
    <w:p w:rsidR="005809BA" w:rsidRPr="00A83D63" w:rsidRDefault="005809BA" w:rsidP="00A83D6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22222"/>
          <w:sz w:val="22"/>
          <w:szCs w:val="22"/>
        </w:rPr>
      </w:pPr>
      <w:r w:rsidRPr="00A83D63">
        <w:rPr>
          <w:rFonts w:ascii="Arial" w:hAnsi="Arial" w:cs="Arial"/>
          <w:color w:val="222222"/>
          <w:sz w:val="22"/>
          <w:szCs w:val="22"/>
        </w:rPr>
        <w:t>La centralización administrativa</w:t>
      </w:r>
    </w:p>
    <w:p w:rsidR="005809BA" w:rsidRPr="00A83D63" w:rsidRDefault="005809BA" w:rsidP="00A83D6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A83D63">
        <w:rPr>
          <w:rFonts w:ascii="Arial" w:hAnsi="Arial" w:cs="Arial"/>
          <w:color w:val="222222"/>
          <w:sz w:val="22"/>
          <w:szCs w:val="22"/>
        </w:rPr>
        <w:t>La descentralización administrativa</w:t>
      </w:r>
    </w:p>
    <w:p w:rsidR="00971985" w:rsidRPr="00A83D63" w:rsidRDefault="005809BA" w:rsidP="00321AFA">
      <w:pPr>
        <w:pStyle w:val="NormalWeb"/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color w:val="222222"/>
          <w:sz w:val="22"/>
          <w:szCs w:val="22"/>
        </w:rPr>
        <w:t>¿Menciona las modalidades de la descentralización?</w:t>
      </w:r>
      <w:r w:rsidR="00321AFA" w:rsidRPr="00A83D63">
        <w:rPr>
          <w:rFonts w:ascii="Arial" w:hAnsi="Arial" w:cs="Arial"/>
          <w:sz w:val="22"/>
          <w:szCs w:val="22"/>
        </w:rPr>
        <w:t xml:space="preserve"> </w:t>
      </w:r>
    </w:p>
    <w:p w:rsidR="00971985" w:rsidRPr="00A83D63" w:rsidRDefault="00971985" w:rsidP="00A83D6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Por colaboración</w:t>
      </w:r>
    </w:p>
    <w:p w:rsidR="00971985" w:rsidRPr="00A83D63" w:rsidRDefault="00971985" w:rsidP="00A83D6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Por región</w:t>
      </w:r>
    </w:p>
    <w:p w:rsidR="00971985" w:rsidRPr="00A83D63" w:rsidRDefault="00971985" w:rsidP="00A83D6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A83D63">
        <w:rPr>
          <w:rFonts w:ascii="Arial" w:hAnsi="Arial" w:cs="Arial"/>
          <w:sz w:val="22"/>
          <w:szCs w:val="22"/>
        </w:rPr>
        <w:t>Por servicio</w:t>
      </w:r>
    </w:p>
    <w:p w:rsidR="00971985" w:rsidRPr="00A83D63" w:rsidRDefault="00971985" w:rsidP="00A83D6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45509" w:rsidRPr="00A83D63" w:rsidRDefault="00E45509" w:rsidP="00A83D6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</w:p>
    <w:p w:rsidR="007C4847" w:rsidRDefault="007C4847" w:rsidP="00A83D63">
      <w:pPr>
        <w:spacing w:before="0" w:beforeAutospacing="0" w:after="9" w:afterAutospacing="0" w:line="360" w:lineRule="auto"/>
        <w:ind w:right="0"/>
        <w:rPr>
          <w:rFonts w:ascii="Arial" w:hAnsi="Arial" w:cs="Arial"/>
        </w:rPr>
      </w:pPr>
    </w:p>
    <w:p w:rsidR="00321AFA" w:rsidRPr="00A83D63" w:rsidRDefault="00321AFA" w:rsidP="00A83D63">
      <w:pPr>
        <w:spacing w:before="0" w:beforeAutospacing="0" w:after="9" w:afterAutospacing="0" w:line="360" w:lineRule="auto"/>
        <w:ind w:right="0"/>
        <w:rPr>
          <w:rFonts w:ascii="Arial" w:hAnsi="Arial" w:cs="Arial"/>
        </w:rPr>
      </w:pPr>
    </w:p>
    <w:sectPr w:rsidR="00321AFA" w:rsidRPr="00A83D63" w:rsidSect="007E6165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CE2" w:rsidRDefault="00090CE2" w:rsidP="00BE0910">
      <w:pPr>
        <w:spacing w:before="0" w:after="0" w:line="240" w:lineRule="auto"/>
      </w:pPr>
      <w:r>
        <w:separator/>
      </w:r>
    </w:p>
  </w:endnote>
  <w:endnote w:type="continuationSeparator" w:id="0">
    <w:p w:rsidR="00090CE2" w:rsidRDefault="00090CE2" w:rsidP="00BE09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CE2" w:rsidRDefault="00090CE2" w:rsidP="00BE0910">
      <w:pPr>
        <w:spacing w:before="0" w:after="0" w:line="240" w:lineRule="auto"/>
      </w:pPr>
      <w:r>
        <w:separator/>
      </w:r>
    </w:p>
  </w:footnote>
  <w:footnote w:type="continuationSeparator" w:id="0">
    <w:p w:rsidR="00090CE2" w:rsidRDefault="00090CE2" w:rsidP="00BE0910">
      <w:pPr>
        <w:spacing w:before="0" w:after="0" w:line="240" w:lineRule="auto"/>
      </w:pPr>
      <w:r>
        <w:continuationSeparator/>
      </w:r>
    </w:p>
  </w:footnote>
  <w:footnote w:id="1">
    <w:p w:rsidR="00C8501D" w:rsidRDefault="00C8501D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Messik</w:t>
      </w:r>
      <w:proofErr w:type="spellEnd"/>
      <w:r>
        <w:t xml:space="preserve"> 1999.</w:t>
      </w:r>
    </w:p>
    <w:p w:rsidR="00C8501D" w:rsidRDefault="00C8501D">
      <w:pPr>
        <w:pStyle w:val="Textonotapie"/>
      </w:pPr>
    </w:p>
  </w:footnote>
  <w:footnote w:id="2">
    <w:p w:rsidR="00A83D63" w:rsidRDefault="00A83D63">
      <w:pPr>
        <w:pStyle w:val="Textonotapie"/>
      </w:pPr>
      <w:r>
        <w:rPr>
          <w:rStyle w:val="Refdenotaalpie"/>
        </w:rPr>
        <w:footnoteRef/>
      </w:r>
      <w:r>
        <w:t xml:space="preserve"> Constitución pública federal.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1E1A"/>
    <w:multiLevelType w:val="hybridMultilevel"/>
    <w:tmpl w:val="10FABE40"/>
    <w:lvl w:ilvl="0" w:tplc="136EDBE4">
      <w:numFmt w:val="bullet"/>
      <w:lvlText w:val="•"/>
      <w:lvlJc w:val="left"/>
      <w:pPr>
        <w:ind w:left="142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090B4F"/>
    <w:multiLevelType w:val="hybridMultilevel"/>
    <w:tmpl w:val="FD0E90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56C8"/>
    <w:multiLevelType w:val="hybridMultilevel"/>
    <w:tmpl w:val="EA1267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023EA4"/>
    <w:multiLevelType w:val="hybridMultilevel"/>
    <w:tmpl w:val="AF2EE4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D5FE2"/>
    <w:multiLevelType w:val="hybridMultilevel"/>
    <w:tmpl w:val="483A5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05867"/>
    <w:multiLevelType w:val="hybridMultilevel"/>
    <w:tmpl w:val="61E05202"/>
    <w:lvl w:ilvl="0" w:tplc="136EDBE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7681D"/>
    <w:multiLevelType w:val="hybridMultilevel"/>
    <w:tmpl w:val="E46A607C"/>
    <w:lvl w:ilvl="0" w:tplc="136EDBE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465C5"/>
    <w:multiLevelType w:val="hybridMultilevel"/>
    <w:tmpl w:val="E28A6D98"/>
    <w:lvl w:ilvl="0" w:tplc="136EDBE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953C6"/>
    <w:multiLevelType w:val="hybridMultilevel"/>
    <w:tmpl w:val="50FEA2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B94CCE"/>
    <w:multiLevelType w:val="hybridMultilevel"/>
    <w:tmpl w:val="805A7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6F4A6A"/>
    <w:multiLevelType w:val="hybridMultilevel"/>
    <w:tmpl w:val="05168C6A"/>
    <w:lvl w:ilvl="0" w:tplc="136EDBE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6F5D82"/>
    <w:multiLevelType w:val="hybridMultilevel"/>
    <w:tmpl w:val="380A2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B94978"/>
    <w:multiLevelType w:val="hybridMultilevel"/>
    <w:tmpl w:val="7EE8E768"/>
    <w:lvl w:ilvl="0" w:tplc="136EDBE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302B4C"/>
    <w:multiLevelType w:val="hybridMultilevel"/>
    <w:tmpl w:val="4BA44900"/>
    <w:lvl w:ilvl="0" w:tplc="A3B83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C4721C"/>
    <w:multiLevelType w:val="hybridMultilevel"/>
    <w:tmpl w:val="E6F62B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617FB7"/>
    <w:multiLevelType w:val="hybridMultilevel"/>
    <w:tmpl w:val="E55EF1EA"/>
    <w:lvl w:ilvl="0" w:tplc="64442100">
      <w:start w:val="1"/>
      <w:numFmt w:val="bullet"/>
      <w:lvlText w:val="•"/>
      <w:lvlJc w:val="left"/>
      <w:pPr>
        <w:ind w:left="49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7FB4BD7E">
      <w:start w:val="1"/>
      <w:numFmt w:val="bullet"/>
      <w:lvlText w:val="o"/>
      <w:lvlJc w:val="left"/>
      <w:pPr>
        <w:ind w:left="123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430A2F7A">
      <w:start w:val="1"/>
      <w:numFmt w:val="bullet"/>
      <w:lvlText w:val="▪"/>
      <w:lvlJc w:val="left"/>
      <w:pPr>
        <w:ind w:left="195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C326449E">
      <w:start w:val="1"/>
      <w:numFmt w:val="bullet"/>
      <w:lvlText w:val="•"/>
      <w:lvlJc w:val="left"/>
      <w:pPr>
        <w:ind w:left="267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E5BA8F08">
      <w:start w:val="1"/>
      <w:numFmt w:val="bullet"/>
      <w:lvlText w:val="o"/>
      <w:lvlJc w:val="left"/>
      <w:pPr>
        <w:ind w:left="339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93280B2C">
      <w:start w:val="1"/>
      <w:numFmt w:val="bullet"/>
      <w:lvlText w:val="▪"/>
      <w:lvlJc w:val="left"/>
      <w:pPr>
        <w:ind w:left="411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D1227D8E">
      <w:start w:val="1"/>
      <w:numFmt w:val="bullet"/>
      <w:lvlText w:val="•"/>
      <w:lvlJc w:val="left"/>
      <w:pPr>
        <w:ind w:left="483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11AC3324">
      <w:start w:val="1"/>
      <w:numFmt w:val="bullet"/>
      <w:lvlText w:val="o"/>
      <w:lvlJc w:val="left"/>
      <w:pPr>
        <w:ind w:left="555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3330FEDE">
      <w:start w:val="1"/>
      <w:numFmt w:val="bullet"/>
      <w:lvlText w:val="▪"/>
      <w:lvlJc w:val="left"/>
      <w:pPr>
        <w:ind w:left="627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>
    <w:nsid w:val="4536752E"/>
    <w:multiLevelType w:val="hybridMultilevel"/>
    <w:tmpl w:val="6400A9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D824F4"/>
    <w:multiLevelType w:val="hybridMultilevel"/>
    <w:tmpl w:val="D6565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357059"/>
    <w:multiLevelType w:val="hybridMultilevel"/>
    <w:tmpl w:val="CC7E8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3F541A"/>
    <w:multiLevelType w:val="hybridMultilevel"/>
    <w:tmpl w:val="5F6412F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0863AD"/>
    <w:multiLevelType w:val="hybridMultilevel"/>
    <w:tmpl w:val="9A646A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221173"/>
    <w:multiLevelType w:val="hybridMultilevel"/>
    <w:tmpl w:val="BB1CC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85217"/>
    <w:multiLevelType w:val="hybridMultilevel"/>
    <w:tmpl w:val="0EB48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2D6BC4"/>
    <w:multiLevelType w:val="hybridMultilevel"/>
    <w:tmpl w:val="28801C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7A5794F"/>
    <w:multiLevelType w:val="hybridMultilevel"/>
    <w:tmpl w:val="20107D38"/>
    <w:lvl w:ilvl="0" w:tplc="136EDBE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CB63DC"/>
    <w:multiLevelType w:val="hybridMultilevel"/>
    <w:tmpl w:val="2FE0FD3A"/>
    <w:lvl w:ilvl="0" w:tplc="3CD8AE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0707CE"/>
    <w:multiLevelType w:val="multilevel"/>
    <w:tmpl w:val="2CC8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BB0D45"/>
    <w:multiLevelType w:val="hybridMultilevel"/>
    <w:tmpl w:val="947CCC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EE86B07"/>
    <w:multiLevelType w:val="hybridMultilevel"/>
    <w:tmpl w:val="9392BF14"/>
    <w:lvl w:ilvl="0" w:tplc="136EDBE4">
      <w:numFmt w:val="bullet"/>
      <w:lvlText w:val="•"/>
      <w:lvlJc w:val="left"/>
      <w:pPr>
        <w:ind w:left="142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9"/>
  </w:num>
  <w:num w:numId="4">
    <w:abstractNumId w:val="13"/>
  </w:num>
  <w:num w:numId="5">
    <w:abstractNumId w:val="15"/>
  </w:num>
  <w:num w:numId="6">
    <w:abstractNumId w:val="22"/>
  </w:num>
  <w:num w:numId="7">
    <w:abstractNumId w:val="4"/>
  </w:num>
  <w:num w:numId="8">
    <w:abstractNumId w:val="27"/>
  </w:num>
  <w:num w:numId="9">
    <w:abstractNumId w:val="2"/>
  </w:num>
  <w:num w:numId="10">
    <w:abstractNumId w:val="14"/>
  </w:num>
  <w:num w:numId="11">
    <w:abstractNumId w:val="16"/>
  </w:num>
  <w:num w:numId="12">
    <w:abstractNumId w:val="8"/>
  </w:num>
  <w:num w:numId="13">
    <w:abstractNumId w:val="19"/>
  </w:num>
  <w:num w:numId="14">
    <w:abstractNumId w:val="23"/>
  </w:num>
  <w:num w:numId="15">
    <w:abstractNumId w:val="20"/>
  </w:num>
  <w:num w:numId="16">
    <w:abstractNumId w:val="11"/>
  </w:num>
  <w:num w:numId="17">
    <w:abstractNumId w:val="21"/>
  </w:num>
  <w:num w:numId="18">
    <w:abstractNumId w:val="3"/>
  </w:num>
  <w:num w:numId="19">
    <w:abstractNumId w:val="18"/>
  </w:num>
  <w:num w:numId="20">
    <w:abstractNumId w:val="17"/>
  </w:num>
  <w:num w:numId="21">
    <w:abstractNumId w:val="5"/>
  </w:num>
  <w:num w:numId="22">
    <w:abstractNumId w:val="12"/>
  </w:num>
  <w:num w:numId="23">
    <w:abstractNumId w:val="10"/>
  </w:num>
  <w:num w:numId="24">
    <w:abstractNumId w:val="7"/>
  </w:num>
  <w:num w:numId="25">
    <w:abstractNumId w:val="24"/>
  </w:num>
  <w:num w:numId="26">
    <w:abstractNumId w:val="28"/>
  </w:num>
  <w:num w:numId="27">
    <w:abstractNumId w:val="0"/>
  </w:num>
  <w:num w:numId="28">
    <w:abstractNumId w:val="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B3"/>
    <w:rsid w:val="00010CD8"/>
    <w:rsid w:val="00090CE2"/>
    <w:rsid w:val="000A170D"/>
    <w:rsid w:val="000B067C"/>
    <w:rsid w:val="000E1BC4"/>
    <w:rsid w:val="00176CA9"/>
    <w:rsid w:val="0018350B"/>
    <w:rsid w:val="001B2DE2"/>
    <w:rsid w:val="001F0265"/>
    <w:rsid w:val="00254CA4"/>
    <w:rsid w:val="002D764E"/>
    <w:rsid w:val="00321AFA"/>
    <w:rsid w:val="0032287C"/>
    <w:rsid w:val="00322A97"/>
    <w:rsid w:val="00382515"/>
    <w:rsid w:val="004C75B3"/>
    <w:rsid w:val="004D30D4"/>
    <w:rsid w:val="00536165"/>
    <w:rsid w:val="005428B8"/>
    <w:rsid w:val="0056436C"/>
    <w:rsid w:val="005809BA"/>
    <w:rsid w:val="00585359"/>
    <w:rsid w:val="005858A0"/>
    <w:rsid w:val="00695CD8"/>
    <w:rsid w:val="007C166D"/>
    <w:rsid w:val="007C4847"/>
    <w:rsid w:val="007E6165"/>
    <w:rsid w:val="00800E80"/>
    <w:rsid w:val="00882A27"/>
    <w:rsid w:val="008A7432"/>
    <w:rsid w:val="00944540"/>
    <w:rsid w:val="00971985"/>
    <w:rsid w:val="00973D78"/>
    <w:rsid w:val="00997399"/>
    <w:rsid w:val="00A009F1"/>
    <w:rsid w:val="00A12981"/>
    <w:rsid w:val="00A52D29"/>
    <w:rsid w:val="00A743B2"/>
    <w:rsid w:val="00A83D63"/>
    <w:rsid w:val="00B201A7"/>
    <w:rsid w:val="00B94E71"/>
    <w:rsid w:val="00BD2989"/>
    <w:rsid w:val="00BE0910"/>
    <w:rsid w:val="00C350B4"/>
    <w:rsid w:val="00C8501D"/>
    <w:rsid w:val="00CC1E50"/>
    <w:rsid w:val="00D43612"/>
    <w:rsid w:val="00D47EEF"/>
    <w:rsid w:val="00E45509"/>
    <w:rsid w:val="00E72DE9"/>
    <w:rsid w:val="00EA55F9"/>
    <w:rsid w:val="00F20FC8"/>
    <w:rsid w:val="00FC69D7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E7123-5F46-4ED8-8CC6-CDAA1FA5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100" w:beforeAutospacing="1" w:after="100" w:afterAutospacing="1" w:line="300" w:lineRule="atLeast"/>
        <w:ind w:left="720" w:right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1AFA"/>
    <w:pPr>
      <w:keepNext/>
      <w:keepLines/>
      <w:spacing w:before="240" w:beforeAutospacing="0" w:after="0" w:afterAutospacing="0" w:line="259" w:lineRule="auto"/>
      <w:ind w:left="0" w:right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75B3"/>
    <w:pPr>
      <w:spacing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7E6165"/>
    <w:pPr>
      <w:contextualSpacing/>
    </w:pPr>
  </w:style>
  <w:style w:type="character" w:styleId="Textoennegrita">
    <w:name w:val="Strong"/>
    <w:basedOn w:val="Fuentedeprrafopredeter"/>
    <w:uiPriority w:val="22"/>
    <w:qFormat/>
    <w:rsid w:val="000E1BC4"/>
    <w:rPr>
      <w:b/>
      <w:bCs/>
    </w:rPr>
  </w:style>
  <w:style w:type="character" w:customStyle="1" w:styleId="apple-converted-space">
    <w:name w:val="apple-converted-space"/>
    <w:basedOn w:val="Fuentedeprrafopredeter"/>
    <w:rsid w:val="000E1BC4"/>
  </w:style>
  <w:style w:type="table" w:styleId="Tablaconcuadrcula">
    <w:name w:val="Table Grid"/>
    <w:basedOn w:val="Tablanormal"/>
    <w:uiPriority w:val="39"/>
    <w:rsid w:val="000E1BC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E0910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910"/>
  </w:style>
  <w:style w:type="paragraph" w:styleId="Piedepgina">
    <w:name w:val="footer"/>
    <w:basedOn w:val="Normal"/>
    <w:link w:val="PiedepginaCar"/>
    <w:uiPriority w:val="99"/>
    <w:unhideWhenUsed/>
    <w:rsid w:val="00BE0910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910"/>
  </w:style>
  <w:style w:type="paragraph" w:styleId="Textodeglobo">
    <w:name w:val="Balloon Text"/>
    <w:basedOn w:val="Normal"/>
    <w:link w:val="TextodegloboCar"/>
    <w:uiPriority w:val="99"/>
    <w:semiHidden/>
    <w:unhideWhenUsed/>
    <w:rsid w:val="0094454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540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8501D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8501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8501D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321A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65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19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1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7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0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910">
          <w:marLeft w:val="2445"/>
          <w:marRight w:val="2460"/>
          <w:marTop w:val="0"/>
          <w:marBottom w:val="18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9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132076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  <w:div w:id="121242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E089C-235F-4C69-AB7C-F0F7745E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813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2015-05-29T21:34:00Z</dcterms:created>
  <dcterms:modified xsi:type="dcterms:W3CDTF">2015-05-30T04:43:00Z</dcterms:modified>
</cp:coreProperties>
</file>