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5DD" w:rsidRPr="006E4474" w:rsidRDefault="008155DD" w:rsidP="008155DD">
      <w:pPr>
        <w:jc w:val="right"/>
        <w:rPr>
          <w:rFonts w:ascii="Arial" w:hAnsi="Arial" w:cs="Arial"/>
          <w:b/>
          <w:sz w:val="28"/>
        </w:rPr>
      </w:pPr>
      <w:r w:rsidRPr="006E4474">
        <w:rPr>
          <w:rFonts w:ascii="Arial" w:hAnsi="Arial" w:cs="Arial"/>
          <w:b/>
          <w:sz w:val="28"/>
        </w:rPr>
        <w:t>Instituto de Administración Pública del Estado de Chiapas A.C.</w:t>
      </w:r>
    </w:p>
    <w:p w:rsidR="008155DD" w:rsidRDefault="008155DD" w:rsidP="008155DD">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40860E43" wp14:editId="71DDE93E">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5DD" w:rsidRDefault="008155DD" w:rsidP="008155DD">
      <w:pPr>
        <w:rPr>
          <w:rFonts w:ascii="Arial" w:hAnsi="Arial" w:cs="Arial"/>
          <w:b/>
          <w:sz w:val="28"/>
        </w:rPr>
      </w:pPr>
    </w:p>
    <w:p w:rsidR="008155DD" w:rsidRDefault="008155DD" w:rsidP="008155DD">
      <w:pPr>
        <w:rPr>
          <w:rFonts w:ascii="Arial" w:hAnsi="Arial" w:cs="Arial"/>
          <w:b/>
          <w:sz w:val="28"/>
        </w:rPr>
      </w:pPr>
    </w:p>
    <w:p w:rsidR="008155DD" w:rsidRDefault="008155DD" w:rsidP="008155DD">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6949E59C" wp14:editId="52FA75B3">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7761A"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8155DD" w:rsidRDefault="008155DD" w:rsidP="008155DD">
      <w:pPr>
        <w:rPr>
          <w:rFonts w:ascii="Arial" w:hAnsi="Arial" w:cs="Arial"/>
          <w:b/>
          <w:sz w:val="28"/>
        </w:rPr>
      </w:pPr>
    </w:p>
    <w:p w:rsidR="008155DD" w:rsidRDefault="008155DD" w:rsidP="008155DD">
      <w:pPr>
        <w:rPr>
          <w:rFonts w:ascii="Arial" w:hAnsi="Arial" w:cs="Arial"/>
          <w:b/>
          <w:sz w:val="28"/>
        </w:rPr>
      </w:pPr>
    </w:p>
    <w:p w:rsidR="008155DD" w:rsidRPr="006E4474" w:rsidRDefault="008155DD" w:rsidP="008155DD">
      <w:pPr>
        <w:jc w:val="right"/>
        <w:rPr>
          <w:rFonts w:ascii="Arial" w:hAnsi="Arial" w:cs="Arial"/>
          <w:b/>
          <w:sz w:val="32"/>
        </w:rPr>
      </w:pPr>
      <w:r w:rsidRPr="006E4474">
        <w:rPr>
          <w:rFonts w:ascii="Arial" w:hAnsi="Arial" w:cs="Arial"/>
          <w:b/>
          <w:sz w:val="32"/>
        </w:rPr>
        <w:t>Maestría en Administración y Políticas Públicas</w:t>
      </w:r>
    </w:p>
    <w:p w:rsidR="008155DD" w:rsidRDefault="008155DD" w:rsidP="008155DD">
      <w:pPr>
        <w:jc w:val="right"/>
        <w:rPr>
          <w:rFonts w:ascii="Arial" w:hAnsi="Arial" w:cs="Arial"/>
          <w:b/>
          <w:sz w:val="28"/>
        </w:rPr>
      </w:pPr>
    </w:p>
    <w:p w:rsidR="008155DD" w:rsidRDefault="008155DD" w:rsidP="008155DD">
      <w:pPr>
        <w:jc w:val="right"/>
        <w:rPr>
          <w:rFonts w:ascii="Arial" w:hAnsi="Arial" w:cs="Arial"/>
          <w:sz w:val="28"/>
        </w:rPr>
      </w:pPr>
      <w:r>
        <w:rPr>
          <w:rFonts w:ascii="Arial" w:hAnsi="Arial" w:cs="Arial"/>
          <w:sz w:val="28"/>
        </w:rPr>
        <w:t xml:space="preserve">Actividad </w:t>
      </w:r>
      <w:r>
        <w:rPr>
          <w:rFonts w:ascii="Arial" w:hAnsi="Arial" w:cs="Arial"/>
          <w:sz w:val="28"/>
        </w:rPr>
        <w:t>5</w:t>
      </w:r>
    </w:p>
    <w:p w:rsidR="008155DD" w:rsidRPr="006E4474" w:rsidRDefault="008155DD" w:rsidP="008155DD">
      <w:pPr>
        <w:jc w:val="right"/>
        <w:rPr>
          <w:rFonts w:ascii="Arial" w:hAnsi="Arial" w:cs="Arial"/>
          <w:sz w:val="28"/>
        </w:rPr>
      </w:pPr>
      <w:r>
        <w:rPr>
          <w:rFonts w:ascii="Arial" w:hAnsi="Arial" w:cs="Arial"/>
          <w:sz w:val="28"/>
        </w:rPr>
        <w:t>Materia: Evaluación e impacto de políticas públicas</w:t>
      </w:r>
    </w:p>
    <w:p w:rsidR="008155DD" w:rsidRDefault="008155DD" w:rsidP="008155DD">
      <w:pPr>
        <w:jc w:val="right"/>
        <w:rPr>
          <w:rFonts w:ascii="Arial" w:hAnsi="Arial" w:cs="Arial"/>
          <w:b/>
          <w:sz w:val="28"/>
        </w:rPr>
      </w:pPr>
    </w:p>
    <w:p w:rsidR="008155DD" w:rsidRDefault="008155DD" w:rsidP="008155DD">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8155DD" w:rsidRDefault="008155DD" w:rsidP="008155DD">
      <w:pPr>
        <w:jc w:val="right"/>
        <w:rPr>
          <w:rFonts w:ascii="Arial" w:hAnsi="Arial" w:cs="Arial"/>
          <w:sz w:val="28"/>
        </w:rPr>
      </w:pPr>
      <w:r w:rsidRPr="00721847">
        <w:rPr>
          <w:rFonts w:ascii="Arial" w:hAnsi="Arial" w:cs="Arial"/>
          <w:sz w:val="28"/>
        </w:rPr>
        <w:t xml:space="preserve">Fuente: </w:t>
      </w:r>
    </w:p>
    <w:p w:rsidR="008155DD" w:rsidRPr="008155DD" w:rsidRDefault="008155DD" w:rsidP="008155DD">
      <w:pPr>
        <w:spacing w:after="0" w:line="300" w:lineRule="atLeast"/>
        <w:jc w:val="right"/>
        <w:rPr>
          <w:rFonts w:ascii="Arial" w:hAnsi="Arial" w:cs="Arial"/>
          <w:sz w:val="28"/>
        </w:rPr>
      </w:pPr>
      <w:r w:rsidRPr="008155DD">
        <w:rPr>
          <w:rFonts w:ascii="Arial" w:hAnsi="Arial" w:cs="Arial"/>
          <w:sz w:val="28"/>
        </w:rPr>
        <w:t>Evaluación del impacto. Cristián Aedo. 2005</w:t>
      </w:r>
    </w:p>
    <w:p w:rsidR="008155DD" w:rsidRDefault="008155DD" w:rsidP="008155DD">
      <w:pPr>
        <w:jc w:val="right"/>
        <w:rPr>
          <w:rFonts w:ascii="Arial" w:hAnsi="Arial" w:cs="Arial"/>
          <w:b/>
          <w:sz w:val="28"/>
        </w:rPr>
      </w:pPr>
    </w:p>
    <w:p w:rsidR="008155DD" w:rsidRPr="006E4474" w:rsidRDefault="008155DD" w:rsidP="008155DD">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8155DD" w:rsidRDefault="008155DD" w:rsidP="008155DD">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Default="008155DD" w:rsidP="008155DD">
      <w:pPr>
        <w:jc w:val="right"/>
        <w:rPr>
          <w:rFonts w:ascii="Arial" w:hAnsi="Arial" w:cs="Arial"/>
          <w:sz w:val="28"/>
        </w:rPr>
      </w:pPr>
    </w:p>
    <w:p w:rsidR="008155DD" w:rsidRPr="008D3EC1" w:rsidRDefault="008155DD" w:rsidP="008155DD">
      <w:pPr>
        <w:spacing w:line="300" w:lineRule="atLeast"/>
        <w:jc w:val="both"/>
        <w:rPr>
          <w:rFonts w:ascii="Arial" w:eastAsia="Times New Roman" w:hAnsi="Arial" w:cs="Arial"/>
          <w:b/>
          <w:color w:val="222222"/>
          <w:lang w:eastAsia="es-MX"/>
        </w:rPr>
      </w:pPr>
      <w:r w:rsidRPr="008D3EC1">
        <w:rPr>
          <w:rFonts w:ascii="Arial" w:eastAsia="Times New Roman" w:hAnsi="Arial" w:cs="Arial"/>
          <w:b/>
          <w:color w:val="222222"/>
          <w:lang w:eastAsia="es-MX"/>
        </w:rPr>
        <w:lastRenderedPageBreak/>
        <w:t>¿Cuál es el propósito de la evaluación de impacto?</w:t>
      </w:r>
    </w:p>
    <w:p w:rsidR="008155DD" w:rsidRPr="008D3EC1" w:rsidRDefault="008155DD" w:rsidP="008155DD">
      <w:pPr>
        <w:spacing w:line="300" w:lineRule="atLeast"/>
        <w:jc w:val="both"/>
        <w:rPr>
          <w:rFonts w:ascii="Arial" w:eastAsia="Times New Roman" w:hAnsi="Arial" w:cs="Arial"/>
          <w:color w:val="222222"/>
          <w:lang w:eastAsia="es-MX"/>
        </w:rPr>
      </w:pPr>
      <w:r w:rsidRPr="008D3EC1">
        <w:rPr>
          <w:rFonts w:ascii="Arial" w:eastAsia="Times New Roman" w:hAnsi="Arial" w:cs="Arial"/>
          <w:color w:val="222222"/>
          <w:lang w:eastAsia="es-MX"/>
        </w:rPr>
        <w:t>La evaluación de impacto tiene como propósitos determinar si un programa produjo los efectos deseados en las personas, hogares e instituciones a las cuales este se aplica.</w:t>
      </w:r>
    </w:p>
    <w:p w:rsidR="008155DD" w:rsidRDefault="008155DD" w:rsidP="008155DD">
      <w:pPr>
        <w:spacing w:line="300" w:lineRule="atLeast"/>
        <w:jc w:val="both"/>
        <w:rPr>
          <w:rFonts w:ascii="Arial" w:eastAsia="Times New Roman" w:hAnsi="Arial" w:cs="Arial"/>
          <w:color w:val="222222"/>
          <w:lang w:eastAsia="es-MX"/>
        </w:rPr>
      </w:pPr>
      <w:r w:rsidRPr="008D3EC1">
        <w:rPr>
          <w:rFonts w:ascii="Arial" w:eastAsia="Times New Roman" w:hAnsi="Arial" w:cs="Arial"/>
          <w:color w:val="222222"/>
          <w:lang w:eastAsia="es-MX"/>
        </w:rPr>
        <w:t>Una evaluación de impacto debe identificar si existen o no relaciones de causa efecto entre el programa y los resultados obtenidos y esperados, ya que puede</w:t>
      </w:r>
      <w:r>
        <w:rPr>
          <w:rFonts w:ascii="Arial" w:eastAsia="Times New Roman" w:hAnsi="Arial" w:cs="Arial"/>
          <w:color w:val="222222"/>
          <w:lang w:eastAsia="es-MX"/>
        </w:rPr>
        <w:t>n</w:t>
      </w:r>
      <w:r w:rsidRPr="008D3EC1">
        <w:rPr>
          <w:rFonts w:ascii="Arial" w:eastAsia="Times New Roman" w:hAnsi="Arial" w:cs="Arial"/>
          <w:color w:val="222222"/>
          <w:lang w:eastAsia="es-MX"/>
        </w:rPr>
        <w:t xml:space="preserve"> existir otros factores  que ocurren durante el periodo de intervención del programa</w:t>
      </w:r>
      <w:r>
        <w:rPr>
          <w:rFonts w:ascii="Arial" w:eastAsia="Times New Roman" w:hAnsi="Arial" w:cs="Arial"/>
          <w:color w:val="222222"/>
          <w:lang w:eastAsia="es-MX"/>
        </w:rPr>
        <w:t>.</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Eficacia, eficiencia y equidad</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Los términos de eficiencia y eficacia, y también equidad, son frecuentemente utilizados en el ámbito de la gestión y evaluación de las políticas públicas y sociales.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Diseño experimental y cuasi experimental</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el diseño de una evaluación de impacto se pueden usar diversas metodologías que entran en dos categorías generales. Diseños experimentales (aleatorios) y diseños cuasi experimentales (no aleatorios)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Diseño Experimental</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este diseño el investigador manipula una variable y observa el efecto que ella tiene sobre una variable de resultados en un grupo de sujetos que se siguen a través del tiempo. La inferencia causal se obtiene comparando las variables de resultados en los sujetos clasificados de acuerdo a la intervención que ellos reciben.</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La asignación al azar de los sujetos a ambos grupos establece las bases para el testeo de la significancia estadística de las diferencias entre estos grupos en las variables de resultado medidas. La </w:t>
      </w:r>
      <w:proofErr w:type="spellStart"/>
      <w:r>
        <w:rPr>
          <w:rFonts w:ascii="Arial" w:eastAsia="Times New Roman" w:hAnsi="Arial" w:cs="Arial"/>
          <w:color w:val="222222"/>
          <w:lang w:eastAsia="es-MX"/>
        </w:rPr>
        <w:t>randomización</w:t>
      </w:r>
      <w:proofErr w:type="spellEnd"/>
      <w:r>
        <w:rPr>
          <w:rFonts w:ascii="Arial" w:eastAsia="Times New Roman" w:hAnsi="Arial" w:cs="Arial"/>
          <w:color w:val="222222"/>
          <w:lang w:eastAsia="es-MX"/>
        </w:rPr>
        <w:t xml:space="preserve"> garantiza que la edad, género, y otras características presentes en la línea base que pudieran afectar la asociación observada son distribuidas igualmente entre los dos grupos.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Diseño Cuasi Experimental</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Aunque los diseños experimentales se consideran el método óptimo para estimar el impacto de los programas, en la evaluación de políticas públicas ellos son difíciles de implementar por varias razones. En primer lugar, conseguir la aleatorización puede ser difícil por aspectos políticos o éticos ya que supone no entregar el programa, y por ende sus beneficios, a algunas personas o zonas geográficas que se podrían beneficiar de éstos.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Estimación paramétrica y no paramétrica</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Se llama estimaciones paramétricas a aquellas en que la variable que sirve como indicador de impacto se define como una función que depende una matriz X de variables exógenas, entre ellas la participación en el programa, y un vector fijo de parámetros.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Métodos paramétricos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lastRenderedPageBreak/>
        <w:t>Dado un universo de individuos elegibles para participar en un Programa, cada uno de ellos puede realizar una de dos acciones alternativas: participar o no participar, y tiene, por lo tanto, dos resultados potenciales respecto de alguna variable de interés para el investigador.</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Métodos no paramétricos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Dado un universo de individuos elegibles para participar en un Programa, cada uno de ellos puede realizar una de dos acciones alternativas: participar o no participar, y tiene, por lo tanto, dos resultados potenciales respecto de alguna variable de interés para el investigador.</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Programas centrados en solucionar la pobreza estructural</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Estos programas, que surgen con el apoyo de la banca multilateral para ayudar a la población más vulnerable, tienen como objetivo principal dotar de capacidades a los hogares más pobres para superar la pobreza estructural que los afecta, a través  principalmente de intervenciones que mejoran sus niveles, en este caso, educativos y de salud.</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Programas diseñador para tiempos de crisis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Se menciona el ejemplo del Programa Jefes y Jefas de Hogares de Argentina, que surge en enero de 2002 como una respuesta la grave crisis macroeconómica que afectó a Argentina hacia finales del año 2001. El programa entregaba una transferencia de Ar$150 por mes cada persona elegible, cifra que representaba alrededor del 50% del ingreso per-cápita promedio mensual en Argentina en el año 2002.</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términos de cobertura, el programa en teoría era universal, en el sentido que cualquier persona elegible que quisiera la transferencia de ingreso podía obtenerla. Sin embargo, en la práctica esta cobertura era claramente no sostenible.</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Diseño e Implementación</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evaluaciones de impacto utilizan predominantemente evaluaciones cuasi-experimentales y experimentales a nivel de personas y de comunas, para analizar la diferencia para los participantes en un indicador de impacto o de resultados versus el valor contrafactual para los participantes en ausencia del programa.</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evaluaciones usan las Encuestas de Hogares como una base importante de información para su recolección. El Programa Familias en Acción de Colombia ya cuenta con el primer informe de las encuestas a nivel de hogar que se han realizado para obtener información del año base antes de iniciar la aplicación del programa.</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Lecciones para el diseño de programas y para la evaluación de futuros programas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Dada la experiencia reciente con una diversidad de programas que han existido se pueden obtener lecciones respecto del diseño de los programas:</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lastRenderedPageBreak/>
        <w:t>Actualización de la información</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Participación de las instituciones ejecutoras durante el diseño</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Análisis costo-beneficio</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Fases pilotos completas</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Estrategias claras de salida o graduación de beneficiarios</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Participación de las instituciones durante la ejecución de los programas (coordinación, ejecución centralizada/descentralizada)</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Rol de beneficiarios y actores locales</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Monitoreo de los programas</w:t>
      </w:r>
    </w:p>
    <w:p w:rsidR="008155DD" w:rsidRPr="00CD468B" w:rsidRDefault="008155DD" w:rsidP="008155DD">
      <w:pPr>
        <w:pStyle w:val="Prrafodelista"/>
        <w:numPr>
          <w:ilvl w:val="0"/>
          <w:numId w:val="1"/>
        </w:numPr>
        <w:spacing w:line="300" w:lineRule="atLeast"/>
        <w:jc w:val="both"/>
        <w:rPr>
          <w:rFonts w:ascii="Arial" w:eastAsia="Times New Roman" w:hAnsi="Arial" w:cs="Arial"/>
          <w:color w:val="222222"/>
          <w:lang w:eastAsia="es-MX"/>
        </w:rPr>
      </w:pPr>
      <w:r w:rsidRPr="00CD468B">
        <w:rPr>
          <w:rFonts w:ascii="Arial" w:eastAsia="Times New Roman" w:hAnsi="Arial" w:cs="Arial"/>
          <w:color w:val="222222"/>
          <w:lang w:eastAsia="es-MX"/>
        </w:rPr>
        <w:t>Aspectos vinculados a la Gestión Financiera y Control de los pagos</w:t>
      </w:r>
    </w:p>
    <w:p w:rsidR="008155DD" w:rsidRDefault="008155DD" w:rsidP="008155D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experiencia indica que el éxito de una evaluación depende crucialmente del momento en que se diseña la misma. Una evaluación diseñada ex-post está en una situación de desventaja porque generalmente no se cuenta con toda la información necesaria. Esto, a su vez, lleva a restar confiabilidad a los resultados de la misma. Contrariamente, cuando las evaluaciones son diseñadas en conjunto con el programa se han observado efectos positivos. Por un lado, se consigue que el impacto sobre los objetivos pueda ser cuantificado de manera más confiable, pero además se consigue una retroalimentación fundamental que permite ir corrigiendo el programa para optimizar los resultados.</w:t>
      </w:r>
    </w:p>
    <w:p w:rsidR="008155DD" w:rsidRPr="000230A2" w:rsidRDefault="008155DD" w:rsidP="008155DD">
      <w:pPr>
        <w:rPr>
          <w:rFonts w:ascii="Arial" w:hAnsi="Arial" w:cs="Arial"/>
          <w:sz w:val="28"/>
        </w:rPr>
      </w:pPr>
      <w:bookmarkStart w:id="0" w:name="_GoBack"/>
      <w:bookmarkEnd w:id="0"/>
    </w:p>
    <w:p w:rsidR="008155DD" w:rsidRDefault="008155DD" w:rsidP="008155DD">
      <w:pPr>
        <w:spacing w:line="360" w:lineRule="auto"/>
        <w:jc w:val="both"/>
        <w:rPr>
          <w:rFonts w:ascii="Arial" w:hAnsi="Arial" w:cs="Arial"/>
          <w:b/>
        </w:rPr>
      </w:pPr>
    </w:p>
    <w:p w:rsidR="006D694A" w:rsidRDefault="006D694A"/>
    <w:sectPr w:rsidR="006D69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673F0"/>
    <w:multiLevelType w:val="hybridMultilevel"/>
    <w:tmpl w:val="19E00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DD"/>
    <w:rsid w:val="006D694A"/>
    <w:rsid w:val="008155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B12F5-F7B2-4A6F-9892-59724A14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5440</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cp:revision>
  <dcterms:created xsi:type="dcterms:W3CDTF">2016-05-22T01:29:00Z</dcterms:created>
  <dcterms:modified xsi:type="dcterms:W3CDTF">2016-05-22T01:31:00Z</dcterms:modified>
</cp:coreProperties>
</file>