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292" w:rsidRDefault="00DD0292" w:rsidP="006464AE">
      <w:pPr>
        <w:spacing w:after="0" w:line="300" w:lineRule="atLeast"/>
        <w:rPr>
          <w:rFonts w:ascii="Arial" w:eastAsia="Times New Roman" w:hAnsi="Arial" w:cs="Arial"/>
          <w:color w:val="222222"/>
          <w:sz w:val="18"/>
          <w:szCs w:val="18"/>
          <w:lang w:eastAsia="es-MX"/>
        </w:rPr>
      </w:pPr>
    </w:p>
    <w:p w:rsidR="00DD0292" w:rsidRPr="006E4474" w:rsidRDefault="00DD0292" w:rsidP="00DD0292">
      <w:pPr>
        <w:jc w:val="right"/>
        <w:rPr>
          <w:rFonts w:ascii="Arial" w:hAnsi="Arial" w:cs="Arial"/>
          <w:b/>
          <w:sz w:val="28"/>
        </w:rPr>
      </w:pPr>
      <w:r w:rsidRPr="006E4474">
        <w:rPr>
          <w:rFonts w:ascii="Arial" w:hAnsi="Arial" w:cs="Arial"/>
          <w:b/>
          <w:sz w:val="28"/>
        </w:rPr>
        <w:t>Instituto de Administración Pública del Estado de Chiapas A.C.</w:t>
      </w:r>
    </w:p>
    <w:p w:rsidR="00DD0292" w:rsidRDefault="00DD0292" w:rsidP="00DD0292">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7B91F216" wp14:editId="29012556">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0292" w:rsidRDefault="00DD0292" w:rsidP="00DD0292">
      <w:pPr>
        <w:rPr>
          <w:rFonts w:ascii="Arial" w:hAnsi="Arial" w:cs="Arial"/>
          <w:b/>
          <w:sz w:val="28"/>
        </w:rPr>
      </w:pPr>
    </w:p>
    <w:p w:rsidR="00DD0292" w:rsidRDefault="00DD0292" w:rsidP="00DD0292">
      <w:pPr>
        <w:rPr>
          <w:rFonts w:ascii="Arial" w:hAnsi="Arial" w:cs="Arial"/>
          <w:b/>
          <w:sz w:val="28"/>
        </w:rPr>
      </w:pPr>
    </w:p>
    <w:p w:rsidR="00DD0292" w:rsidRDefault="00DD0292" w:rsidP="00DD0292">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2C022B16" wp14:editId="6A3BB279">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779D44"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DD0292" w:rsidRDefault="00DD0292" w:rsidP="00DD0292">
      <w:pPr>
        <w:rPr>
          <w:rFonts w:ascii="Arial" w:hAnsi="Arial" w:cs="Arial"/>
          <w:b/>
          <w:sz w:val="28"/>
        </w:rPr>
      </w:pPr>
    </w:p>
    <w:p w:rsidR="00DD0292" w:rsidRDefault="00DD0292" w:rsidP="00DD0292">
      <w:pPr>
        <w:rPr>
          <w:rFonts w:ascii="Arial" w:hAnsi="Arial" w:cs="Arial"/>
          <w:b/>
          <w:sz w:val="28"/>
        </w:rPr>
      </w:pPr>
    </w:p>
    <w:p w:rsidR="00DD0292" w:rsidRPr="006E4474" w:rsidRDefault="00DD0292" w:rsidP="00DD0292">
      <w:pPr>
        <w:jc w:val="right"/>
        <w:rPr>
          <w:rFonts w:ascii="Arial" w:hAnsi="Arial" w:cs="Arial"/>
          <w:b/>
          <w:sz w:val="32"/>
        </w:rPr>
      </w:pPr>
      <w:r w:rsidRPr="006E4474">
        <w:rPr>
          <w:rFonts w:ascii="Arial" w:hAnsi="Arial" w:cs="Arial"/>
          <w:b/>
          <w:sz w:val="32"/>
        </w:rPr>
        <w:t>Maestría en Administración y Políticas Públicas</w:t>
      </w:r>
    </w:p>
    <w:p w:rsidR="00DD0292" w:rsidRDefault="00DD0292" w:rsidP="00DD0292">
      <w:pPr>
        <w:jc w:val="right"/>
        <w:rPr>
          <w:rFonts w:ascii="Arial" w:hAnsi="Arial" w:cs="Arial"/>
          <w:b/>
          <w:sz w:val="28"/>
        </w:rPr>
      </w:pPr>
    </w:p>
    <w:p w:rsidR="00DD0292" w:rsidRDefault="00DD0292" w:rsidP="00DD0292">
      <w:pPr>
        <w:jc w:val="right"/>
        <w:rPr>
          <w:rFonts w:ascii="Arial" w:hAnsi="Arial" w:cs="Arial"/>
          <w:sz w:val="28"/>
        </w:rPr>
      </w:pPr>
      <w:r>
        <w:rPr>
          <w:rFonts w:ascii="Arial" w:hAnsi="Arial" w:cs="Arial"/>
          <w:sz w:val="28"/>
        </w:rPr>
        <w:t xml:space="preserve">Actividad </w:t>
      </w:r>
      <w:r>
        <w:rPr>
          <w:rFonts w:ascii="Arial" w:hAnsi="Arial" w:cs="Arial"/>
          <w:sz w:val="28"/>
        </w:rPr>
        <w:t>2</w:t>
      </w:r>
    </w:p>
    <w:p w:rsidR="00DD0292" w:rsidRPr="006E4474" w:rsidRDefault="00DD0292" w:rsidP="00DD0292">
      <w:pPr>
        <w:jc w:val="right"/>
        <w:rPr>
          <w:rFonts w:ascii="Arial" w:hAnsi="Arial" w:cs="Arial"/>
          <w:sz w:val="28"/>
        </w:rPr>
      </w:pPr>
      <w:r>
        <w:rPr>
          <w:rFonts w:ascii="Arial" w:hAnsi="Arial" w:cs="Arial"/>
          <w:sz w:val="28"/>
        </w:rPr>
        <w:t>Materia: Rendición de cuentas y Contraloría Social</w:t>
      </w:r>
    </w:p>
    <w:p w:rsidR="00DD0292" w:rsidRDefault="00DD0292" w:rsidP="00DD0292">
      <w:pPr>
        <w:jc w:val="right"/>
        <w:rPr>
          <w:rFonts w:ascii="Arial" w:hAnsi="Arial" w:cs="Arial"/>
          <w:b/>
          <w:sz w:val="28"/>
        </w:rPr>
      </w:pPr>
    </w:p>
    <w:p w:rsidR="00DD0292" w:rsidRDefault="00DD0292" w:rsidP="00DD0292">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w:t>
      </w:r>
      <w:r>
        <w:rPr>
          <w:rFonts w:ascii="Arial" w:hAnsi="Arial" w:cs="Arial"/>
          <w:b/>
          <w:sz w:val="28"/>
        </w:rPr>
        <w:t>Cuadro comparativo</w:t>
      </w:r>
    </w:p>
    <w:p w:rsidR="00DD0292" w:rsidRPr="00E855C7" w:rsidRDefault="00DD0292" w:rsidP="00DD0292">
      <w:pPr>
        <w:jc w:val="right"/>
        <w:rPr>
          <w:rFonts w:ascii="Arial" w:hAnsi="Arial" w:cs="Arial"/>
        </w:rPr>
      </w:pPr>
      <w:r w:rsidRPr="00E855C7">
        <w:rPr>
          <w:rFonts w:ascii="Arial" w:hAnsi="Arial" w:cs="Arial"/>
        </w:rPr>
        <w:t xml:space="preserve">Fuente: </w:t>
      </w:r>
    </w:p>
    <w:p w:rsidR="00DD0292" w:rsidRPr="00DD0292" w:rsidRDefault="00DD0292" w:rsidP="00DD0292">
      <w:pPr>
        <w:jc w:val="right"/>
        <w:rPr>
          <w:rFonts w:ascii="Arial" w:hAnsi="Arial" w:cs="Arial"/>
        </w:rPr>
      </w:pPr>
      <w:r w:rsidRPr="00DD0292">
        <w:rPr>
          <w:rFonts w:ascii="Arial" w:hAnsi="Arial" w:cs="Arial"/>
        </w:rPr>
        <w:t xml:space="preserve">Declaración </w:t>
      </w:r>
      <w:r>
        <w:rPr>
          <w:rFonts w:ascii="Arial" w:hAnsi="Arial" w:cs="Arial"/>
        </w:rPr>
        <w:t>d</w:t>
      </w:r>
      <w:r w:rsidRPr="00DD0292">
        <w:rPr>
          <w:rFonts w:ascii="Arial" w:hAnsi="Arial" w:cs="Arial"/>
        </w:rPr>
        <w:t>e Lima Sobre</w:t>
      </w:r>
      <w:r>
        <w:rPr>
          <w:rFonts w:ascii="Arial" w:hAnsi="Arial" w:cs="Arial"/>
        </w:rPr>
        <w:t xml:space="preserve"> </w:t>
      </w:r>
      <w:r w:rsidRPr="00DD0292">
        <w:rPr>
          <w:rFonts w:ascii="Arial" w:hAnsi="Arial" w:cs="Arial"/>
        </w:rPr>
        <w:t xml:space="preserve">las Líneas Básicas </w:t>
      </w:r>
      <w:r>
        <w:rPr>
          <w:rFonts w:ascii="Arial" w:hAnsi="Arial" w:cs="Arial"/>
        </w:rPr>
        <w:t>d</w:t>
      </w:r>
      <w:r w:rsidRPr="00DD0292">
        <w:rPr>
          <w:rFonts w:ascii="Arial" w:hAnsi="Arial" w:cs="Arial"/>
        </w:rPr>
        <w:t xml:space="preserve">e </w:t>
      </w:r>
      <w:r>
        <w:rPr>
          <w:rFonts w:ascii="Arial" w:hAnsi="Arial" w:cs="Arial"/>
        </w:rPr>
        <w:t>l</w:t>
      </w:r>
      <w:r w:rsidRPr="00DD0292">
        <w:rPr>
          <w:rFonts w:ascii="Arial" w:hAnsi="Arial" w:cs="Arial"/>
        </w:rPr>
        <w:t>a Fiscalización</w:t>
      </w:r>
    </w:p>
    <w:p w:rsidR="00DD0292" w:rsidRDefault="00DD0292" w:rsidP="00DD0292">
      <w:pPr>
        <w:jc w:val="right"/>
        <w:rPr>
          <w:rFonts w:ascii="Arial" w:hAnsi="Arial" w:cs="Arial"/>
        </w:rPr>
      </w:pPr>
      <w:r w:rsidRPr="00DD0292">
        <w:rPr>
          <w:rFonts w:ascii="Arial" w:hAnsi="Arial" w:cs="Arial"/>
        </w:rPr>
        <w:t xml:space="preserve">Declaración </w:t>
      </w:r>
      <w:r>
        <w:rPr>
          <w:rFonts w:ascii="Arial" w:hAnsi="Arial" w:cs="Arial"/>
        </w:rPr>
        <w:t>d</w:t>
      </w:r>
      <w:r w:rsidRPr="00DD0292">
        <w:rPr>
          <w:rFonts w:ascii="Arial" w:hAnsi="Arial" w:cs="Arial"/>
        </w:rPr>
        <w:t xml:space="preserve">e México </w:t>
      </w:r>
      <w:r>
        <w:rPr>
          <w:rFonts w:ascii="Arial" w:hAnsi="Arial" w:cs="Arial"/>
        </w:rPr>
        <w:t>s</w:t>
      </w:r>
      <w:r w:rsidRPr="00DD0292">
        <w:rPr>
          <w:rFonts w:ascii="Arial" w:hAnsi="Arial" w:cs="Arial"/>
        </w:rPr>
        <w:t xml:space="preserve">obre Independencia </w:t>
      </w:r>
      <w:r>
        <w:rPr>
          <w:rFonts w:ascii="Arial" w:hAnsi="Arial" w:cs="Arial"/>
        </w:rPr>
        <w:t>d</w:t>
      </w:r>
      <w:r w:rsidRPr="00DD0292">
        <w:rPr>
          <w:rFonts w:ascii="Arial" w:hAnsi="Arial" w:cs="Arial"/>
        </w:rPr>
        <w:t xml:space="preserve">e </w:t>
      </w:r>
      <w:r>
        <w:rPr>
          <w:rFonts w:ascii="Arial" w:hAnsi="Arial" w:cs="Arial"/>
        </w:rPr>
        <w:t>l</w:t>
      </w:r>
      <w:r w:rsidRPr="00DD0292">
        <w:rPr>
          <w:rFonts w:ascii="Arial" w:hAnsi="Arial" w:cs="Arial"/>
        </w:rPr>
        <w:t>as Entidades Fiscalizadoras Superiores</w:t>
      </w:r>
    </w:p>
    <w:p w:rsidR="00DD0292" w:rsidRPr="00E855C7" w:rsidRDefault="00DD0292" w:rsidP="00DD0292">
      <w:pPr>
        <w:jc w:val="right"/>
        <w:rPr>
          <w:rFonts w:ascii="Arial" w:hAnsi="Arial" w:cs="Arial"/>
        </w:rPr>
      </w:pPr>
      <w:r>
        <w:rPr>
          <w:rFonts w:ascii="Arial" w:hAnsi="Arial" w:cs="Arial"/>
        </w:rPr>
        <w:t>Artículo 79 de la Constitución Política de los Estados Unidos Mexicanos</w:t>
      </w:r>
    </w:p>
    <w:p w:rsidR="00DD0292" w:rsidRDefault="00DD0292" w:rsidP="00DD0292">
      <w:pPr>
        <w:jc w:val="right"/>
        <w:rPr>
          <w:rFonts w:ascii="Arial" w:hAnsi="Arial" w:cs="Arial"/>
          <w:sz w:val="28"/>
        </w:rPr>
      </w:pPr>
    </w:p>
    <w:p w:rsidR="00DD0292" w:rsidRPr="006E4474" w:rsidRDefault="00DD0292" w:rsidP="00DD0292">
      <w:pPr>
        <w:jc w:val="right"/>
        <w:rPr>
          <w:rFonts w:ascii="Arial" w:hAnsi="Arial" w:cs="Arial"/>
          <w:sz w:val="28"/>
        </w:rPr>
      </w:pPr>
      <w:r w:rsidRPr="006E4474">
        <w:rPr>
          <w:rFonts w:ascii="Arial" w:hAnsi="Arial" w:cs="Arial"/>
          <w:sz w:val="28"/>
        </w:rPr>
        <w:t xml:space="preserve">Presenta: Flores </w:t>
      </w:r>
      <w:proofErr w:type="spellStart"/>
      <w:r w:rsidRPr="006E4474">
        <w:rPr>
          <w:rFonts w:ascii="Arial" w:hAnsi="Arial" w:cs="Arial"/>
          <w:sz w:val="28"/>
        </w:rPr>
        <w:t>Cancino</w:t>
      </w:r>
      <w:proofErr w:type="spellEnd"/>
      <w:r w:rsidRPr="00EC0401">
        <w:rPr>
          <w:rFonts w:ascii="Arial" w:hAnsi="Arial" w:cs="Arial"/>
          <w:sz w:val="28"/>
        </w:rPr>
        <w:t xml:space="preserve"> </w:t>
      </w:r>
      <w:r w:rsidRPr="006E4474">
        <w:rPr>
          <w:rFonts w:ascii="Arial" w:hAnsi="Arial" w:cs="Arial"/>
          <w:sz w:val="28"/>
        </w:rPr>
        <w:t>Luis Javier</w:t>
      </w:r>
    </w:p>
    <w:p w:rsidR="00DD0292" w:rsidRDefault="00DD0292" w:rsidP="00DD0292">
      <w:pPr>
        <w:jc w:val="right"/>
        <w:rPr>
          <w:rFonts w:ascii="Arial" w:hAnsi="Arial" w:cs="Arial"/>
          <w:sz w:val="28"/>
        </w:rPr>
      </w:pPr>
      <w:r>
        <w:rPr>
          <w:rFonts w:ascii="Arial" w:hAnsi="Arial" w:cs="Arial"/>
          <w:sz w:val="28"/>
        </w:rPr>
        <w:t xml:space="preserve">Junio </w:t>
      </w:r>
      <w:r w:rsidRPr="006E4474">
        <w:rPr>
          <w:rFonts w:ascii="Arial" w:hAnsi="Arial" w:cs="Arial"/>
          <w:sz w:val="28"/>
        </w:rPr>
        <w:t>201</w:t>
      </w:r>
      <w:r>
        <w:rPr>
          <w:rFonts w:ascii="Arial" w:hAnsi="Arial" w:cs="Arial"/>
          <w:sz w:val="28"/>
        </w:rPr>
        <w:t>6</w:t>
      </w:r>
    </w:p>
    <w:p w:rsidR="00DD0292" w:rsidRDefault="00DD0292" w:rsidP="00DD0292">
      <w:pPr>
        <w:spacing w:after="0" w:line="300" w:lineRule="atLeast"/>
        <w:jc w:val="both"/>
        <w:rPr>
          <w:rFonts w:ascii="Arial" w:eastAsia="Times New Roman" w:hAnsi="Arial" w:cs="Arial"/>
          <w:color w:val="222222"/>
          <w:sz w:val="18"/>
          <w:szCs w:val="18"/>
          <w:lang w:eastAsia="es-MX"/>
        </w:rPr>
      </w:pPr>
    </w:p>
    <w:p w:rsidR="00DD0292" w:rsidRDefault="00DD0292" w:rsidP="006464AE">
      <w:pPr>
        <w:spacing w:after="0" w:line="300" w:lineRule="atLeast"/>
        <w:rPr>
          <w:rFonts w:ascii="Arial" w:eastAsia="Times New Roman" w:hAnsi="Arial" w:cs="Arial"/>
          <w:color w:val="222222"/>
          <w:sz w:val="18"/>
          <w:szCs w:val="18"/>
          <w:lang w:eastAsia="es-MX"/>
        </w:rPr>
      </w:pPr>
    </w:p>
    <w:p w:rsidR="00DD0292" w:rsidRDefault="00DD0292" w:rsidP="006464AE">
      <w:pPr>
        <w:spacing w:after="0" w:line="300" w:lineRule="atLeast"/>
        <w:rPr>
          <w:rFonts w:ascii="Arial" w:eastAsia="Times New Roman" w:hAnsi="Arial" w:cs="Arial"/>
          <w:color w:val="222222"/>
          <w:sz w:val="18"/>
          <w:szCs w:val="18"/>
          <w:lang w:eastAsia="es-MX"/>
        </w:rPr>
      </w:pPr>
    </w:p>
    <w:p w:rsidR="00DD0292" w:rsidRDefault="00DD0292" w:rsidP="006464AE">
      <w:pPr>
        <w:spacing w:after="0" w:line="300" w:lineRule="atLeast"/>
        <w:rPr>
          <w:rFonts w:ascii="Arial" w:eastAsia="Times New Roman" w:hAnsi="Arial" w:cs="Arial"/>
          <w:color w:val="222222"/>
          <w:sz w:val="18"/>
          <w:szCs w:val="18"/>
          <w:lang w:eastAsia="es-MX"/>
        </w:rPr>
      </w:pPr>
    </w:p>
    <w:p w:rsidR="00DD0292" w:rsidRDefault="00DD0292" w:rsidP="006464AE">
      <w:pPr>
        <w:spacing w:after="0" w:line="300" w:lineRule="atLeast"/>
        <w:rPr>
          <w:rFonts w:ascii="Arial" w:eastAsia="Times New Roman" w:hAnsi="Arial" w:cs="Arial"/>
          <w:color w:val="222222"/>
          <w:sz w:val="18"/>
          <w:szCs w:val="18"/>
          <w:lang w:eastAsia="es-MX"/>
        </w:rPr>
      </w:pPr>
    </w:p>
    <w:p w:rsidR="00DD0292" w:rsidRDefault="00DD0292" w:rsidP="006464AE">
      <w:pPr>
        <w:spacing w:after="0" w:line="300" w:lineRule="atLeast"/>
        <w:rPr>
          <w:rFonts w:ascii="Arial" w:eastAsia="Times New Roman" w:hAnsi="Arial" w:cs="Arial"/>
          <w:color w:val="222222"/>
          <w:sz w:val="18"/>
          <w:szCs w:val="18"/>
          <w:lang w:eastAsia="es-MX"/>
        </w:rPr>
      </w:pPr>
    </w:p>
    <w:p w:rsidR="00DD0292" w:rsidRDefault="00DD0292" w:rsidP="006464AE">
      <w:pPr>
        <w:spacing w:after="0" w:line="300" w:lineRule="atLeast"/>
        <w:rPr>
          <w:rFonts w:ascii="Arial" w:eastAsia="Times New Roman" w:hAnsi="Arial" w:cs="Arial"/>
          <w:color w:val="222222"/>
          <w:sz w:val="18"/>
          <w:szCs w:val="18"/>
          <w:lang w:eastAsia="es-MX"/>
        </w:rPr>
      </w:pPr>
    </w:p>
    <w:p w:rsidR="00DD0292" w:rsidRDefault="00DD0292" w:rsidP="006464AE">
      <w:pPr>
        <w:spacing w:after="0" w:line="300" w:lineRule="atLeast"/>
        <w:rPr>
          <w:rFonts w:ascii="Arial" w:eastAsia="Times New Roman" w:hAnsi="Arial" w:cs="Arial"/>
          <w:color w:val="222222"/>
          <w:sz w:val="18"/>
          <w:szCs w:val="18"/>
          <w:lang w:eastAsia="es-MX"/>
        </w:rPr>
      </w:pPr>
    </w:p>
    <w:p w:rsidR="00DD0292" w:rsidRDefault="00DD0292" w:rsidP="006464AE">
      <w:pPr>
        <w:spacing w:after="0" w:line="300" w:lineRule="atLeast"/>
        <w:rPr>
          <w:rFonts w:ascii="Arial" w:eastAsia="Times New Roman" w:hAnsi="Arial" w:cs="Arial"/>
          <w:color w:val="222222"/>
          <w:sz w:val="18"/>
          <w:szCs w:val="18"/>
          <w:lang w:eastAsia="es-MX"/>
        </w:rPr>
      </w:pPr>
    </w:p>
    <w:p w:rsidR="006464AE" w:rsidRPr="00DD0292" w:rsidRDefault="00DD0292" w:rsidP="00DD0292">
      <w:pPr>
        <w:spacing w:after="0" w:line="300" w:lineRule="atLeast"/>
        <w:jc w:val="center"/>
        <w:rPr>
          <w:rFonts w:ascii="Arial" w:eastAsia="Times New Roman" w:hAnsi="Arial" w:cs="Arial"/>
          <w:b/>
          <w:color w:val="222222"/>
          <w:sz w:val="24"/>
          <w:szCs w:val="18"/>
          <w:lang w:eastAsia="es-MX"/>
        </w:rPr>
      </w:pPr>
      <w:r w:rsidRPr="00DD0292">
        <w:rPr>
          <w:rFonts w:ascii="Arial" w:eastAsia="Times New Roman" w:hAnsi="Arial" w:cs="Arial"/>
          <w:b/>
          <w:color w:val="222222"/>
          <w:sz w:val="24"/>
          <w:szCs w:val="18"/>
          <w:lang w:eastAsia="es-MX"/>
        </w:rPr>
        <w:lastRenderedPageBreak/>
        <w:t>CUADRO COMPARATIVO</w:t>
      </w:r>
    </w:p>
    <w:p w:rsidR="00DD0292" w:rsidRDefault="00DD0292" w:rsidP="006464AE">
      <w:pPr>
        <w:spacing w:after="0" w:line="300" w:lineRule="atLeast"/>
        <w:rPr>
          <w:rFonts w:ascii="Arial" w:eastAsia="Times New Roman" w:hAnsi="Arial" w:cs="Arial"/>
          <w:color w:val="222222"/>
          <w:sz w:val="18"/>
          <w:szCs w:val="18"/>
          <w:lang w:eastAsia="es-MX"/>
        </w:rPr>
      </w:pPr>
    </w:p>
    <w:tbl>
      <w:tblPr>
        <w:tblStyle w:val="Tablaconcuadrcula"/>
        <w:tblW w:w="10774" w:type="dxa"/>
        <w:tblInd w:w="-998" w:type="dxa"/>
        <w:tblLook w:val="04A0" w:firstRow="1" w:lastRow="0" w:firstColumn="1" w:lastColumn="0" w:noHBand="0" w:noVBand="1"/>
      </w:tblPr>
      <w:tblGrid>
        <w:gridCol w:w="3687"/>
        <w:gridCol w:w="3685"/>
        <w:gridCol w:w="3402"/>
      </w:tblGrid>
      <w:tr w:rsidR="002D3B71" w:rsidTr="00E84AC2">
        <w:tc>
          <w:tcPr>
            <w:tcW w:w="3687" w:type="dxa"/>
          </w:tcPr>
          <w:p w:rsidR="002D3B71" w:rsidRPr="00DD0292" w:rsidRDefault="002D3B71" w:rsidP="006464AE">
            <w:pPr>
              <w:spacing w:line="300" w:lineRule="atLeast"/>
              <w:rPr>
                <w:rFonts w:ascii="Arial" w:eastAsia="Times New Roman" w:hAnsi="Arial" w:cs="Arial"/>
                <w:b/>
                <w:color w:val="222222"/>
                <w:szCs w:val="18"/>
                <w:lang w:eastAsia="es-MX"/>
              </w:rPr>
            </w:pPr>
            <w:r w:rsidRPr="00DD0292">
              <w:rPr>
                <w:rFonts w:ascii="Arial" w:eastAsia="Times New Roman" w:hAnsi="Arial" w:cs="Arial"/>
                <w:b/>
                <w:color w:val="222222"/>
                <w:szCs w:val="18"/>
                <w:lang w:eastAsia="es-MX"/>
              </w:rPr>
              <w:t>Declaración de Lima sobre las Líneas Básicas de la Fiscalización</w:t>
            </w:r>
          </w:p>
        </w:tc>
        <w:tc>
          <w:tcPr>
            <w:tcW w:w="3685" w:type="dxa"/>
          </w:tcPr>
          <w:p w:rsidR="002D3B71" w:rsidRPr="00DD0292" w:rsidRDefault="002D3B71" w:rsidP="006464AE">
            <w:pPr>
              <w:spacing w:line="300" w:lineRule="atLeast"/>
              <w:rPr>
                <w:rFonts w:ascii="Arial" w:eastAsia="Times New Roman" w:hAnsi="Arial" w:cs="Arial"/>
                <w:b/>
                <w:color w:val="222222"/>
                <w:szCs w:val="18"/>
                <w:lang w:eastAsia="es-MX"/>
              </w:rPr>
            </w:pPr>
            <w:r w:rsidRPr="00DD0292">
              <w:rPr>
                <w:rFonts w:ascii="Arial" w:eastAsia="Times New Roman" w:hAnsi="Arial" w:cs="Arial"/>
                <w:b/>
                <w:color w:val="222222"/>
                <w:szCs w:val="18"/>
                <w:lang w:eastAsia="es-MX"/>
              </w:rPr>
              <w:t>Declaración de México sobre Independencia de las Entidades Fiscalizadoras Superiores</w:t>
            </w:r>
          </w:p>
        </w:tc>
        <w:tc>
          <w:tcPr>
            <w:tcW w:w="3402" w:type="dxa"/>
          </w:tcPr>
          <w:p w:rsidR="002D3B71" w:rsidRPr="00DD0292" w:rsidRDefault="002D3B71" w:rsidP="006464AE">
            <w:pPr>
              <w:spacing w:line="300" w:lineRule="atLeast"/>
              <w:rPr>
                <w:rFonts w:ascii="Arial" w:eastAsia="Times New Roman" w:hAnsi="Arial" w:cs="Arial"/>
                <w:b/>
                <w:color w:val="222222"/>
                <w:szCs w:val="18"/>
                <w:lang w:eastAsia="es-MX"/>
              </w:rPr>
            </w:pPr>
            <w:r w:rsidRPr="00DD0292">
              <w:rPr>
                <w:rFonts w:ascii="Arial" w:eastAsia="Times New Roman" w:hAnsi="Arial" w:cs="Arial"/>
                <w:b/>
                <w:color w:val="222222"/>
                <w:szCs w:val="18"/>
                <w:lang w:eastAsia="es-MX"/>
              </w:rPr>
              <w:t>Textos Constitucionales en el artículo 79</w:t>
            </w:r>
          </w:p>
        </w:tc>
      </w:tr>
      <w:tr w:rsidR="002D3B71" w:rsidTr="00E84AC2">
        <w:tc>
          <w:tcPr>
            <w:tcW w:w="3687" w:type="dxa"/>
          </w:tcPr>
          <w:p w:rsidR="002D3B71" w:rsidRDefault="0045433D"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El control no representa una finalidad en sí mismo, sino una parte imprescindible de un mecanismo regulador que debe señalar, oportunamente, las desviaciones normativas y las infracciones de los principios de legalidad, rentabilidad, utilidad y racionalidad de las operaciones financieras.</w:t>
            </w:r>
          </w:p>
        </w:tc>
        <w:tc>
          <w:tcPr>
            <w:tcW w:w="3685" w:type="dxa"/>
          </w:tcPr>
          <w:p w:rsidR="002D3B71" w:rsidRDefault="0045433D"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 xml:space="preserve">La existencia de un marco constitucional, reglamentario o legal </w:t>
            </w:r>
            <w:r>
              <w:rPr>
                <w:rFonts w:ascii="Arial" w:eastAsia="Times New Roman" w:hAnsi="Arial" w:cs="Arial"/>
                <w:color w:val="222222"/>
                <w:sz w:val="18"/>
                <w:szCs w:val="18"/>
                <w:lang w:eastAsia="es-MX"/>
              </w:rPr>
              <w:t>apropiado y efi</w:t>
            </w:r>
            <w:r w:rsidRPr="0045433D">
              <w:rPr>
                <w:rFonts w:ascii="Arial" w:eastAsia="Times New Roman" w:hAnsi="Arial" w:cs="Arial"/>
                <w:color w:val="222222"/>
                <w:sz w:val="18"/>
                <w:szCs w:val="18"/>
                <w:lang w:eastAsia="es-MX"/>
              </w:rPr>
              <w:t>caz, así como de disposiciones para la aplicación de facto de dicho marco</w:t>
            </w:r>
          </w:p>
        </w:tc>
        <w:tc>
          <w:tcPr>
            <w:tcW w:w="3402" w:type="dxa"/>
          </w:tcPr>
          <w:p w:rsidR="002D3B71" w:rsidRDefault="00294C01" w:rsidP="00294C01">
            <w:pPr>
              <w:spacing w:line="300" w:lineRule="atLeast"/>
              <w:jc w:val="both"/>
              <w:rPr>
                <w:rFonts w:ascii="Arial" w:eastAsia="Times New Roman" w:hAnsi="Arial" w:cs="Arial"/>
                <w:color w:val="222222"/>
                <w:sz w:val="18"/>
                <w:szCs w:val="18"/>
                <w:lang w:eastAsia="es-MX"/>
              </w:rPr>
            </w:pPr>
            <w:r w:rsidRPr="00294C01">
              <w:rPr>
                <w:rFonts w:ascii="Arial" w:eastAsia="Times New Roman" w:hAnsi="Arial" w:cs="Arial"/>
                <w:color w:val="222222"/>
                <w:sz w:val="18"/>
                <w:szCs w:val="18"/>
                <w:lang w:eastAsia="es-MX"/>
              </w:rPr>
              <w:t>La Auditoría Superior de la Federación de la Cámara de Diputados, tendrá autonomía técnica y de gestión en el ejercicio de sus atribuciones y para decidir sobre su organización interna, funcionamiento y resoluciones, en los términos que disponga la ley</w:t>
            </w:r>
          </w:p>
        </w:tc>
      </w:tr>
      <w:tr w:rsidR="002D3B71" w:rsidTr="00E84AC2">
        <w:tc>
          <w:tcPr>
            <w:tcW w:w="3687" w:type="dxa"/>
          </w:tcPr>
          <w:p w:rsidR="002D3B71" w:rsidRDefault="0045433D" w:rsidP="00294C01">
            <w:pPr>
              <w:spacing w:line="300" w:lineRule="atLeast"/>
              <w:jc w:val="both"/>
              <w:rPr>
                <w:rFonts w:ascii="Arial" w:eastAsia="Times New Roman" w:hAnsi="Arial" w:cs="Arial"/>
                <w:color w:val="222222"/>
                <w:sz w:val="18"/>
                <w:szCs w:val="18"/>
                <w:lang w:eastAsia="es-MX"/>
              </w:rPr>
            </w:pPr>
            <w:r>
              <w:rPr>
                <w:rFonts w:ascii="Arial" w:eastAsia="Times New Roman" w:hAnsi="Arial" w:cs="Arial"/>
                <w:color w:val="222222"/>
                <w:sz w:val="18"/>
                <w:szCs w:val="18"/>
                <w:lang w:eastAsia="es-MX"/>
              </w:rPr>
              <w:t>Un control previo efi</w:t>
            </w:r>
            <w:r w:rsidRPr="0045433D">
              <w:rPr>
                <w:rFonts w:ascii="Arial" w:eastAsia="Times New Roman" w:hAnsi="Arial" w:cs="Arial"/>
                <w:color w:val="222222"/>
                <w:sz w:val="18"/>
                <w:szCs w:val="18"/>
                <w:lang w:eastAsia="es-MX"/>
              </w:rPr>
              <w:t>caz resulta imprescindible para una sana economía financiera pública. Puede ser ejercido por una Entidad Fiscalizadora Superior.</w:t>
            </w:r>
          </w:p>
        </w:tc>
        <w:tc>
          <w:tcPr>
            <w:tcW w:w="3685" w:type="dxa"/>
            <w:shd w:val="clear" w:color="auto" w:fill="A6A6A6" w:themeFill="background1" w:themeFillShade="A6"/>
          </w:tcPr>
          <w:p w:rsidR="002D3B71" w:rsidRDefault="002D3B71" w:rsidP="00294C01">
            <w:pPr>
              <w:spacing w:line="300" w:lineRule="atLeast"/>
              <w:jc w:val="both"/>
              <w:rPr>
                <w:rFonts w:ascii="Arial" w:eastAsia="Times New Roman" w:hAnsi="Arial" w:cs="Arial"/>
                <w:color w:val="222222"/>
                <w:sz w:val="18"/>
                <w:szCs w:val="18"/>
                <w:lang w:eastAsia="es-MX"/>
              </w:rPr>
            </w:pPr>
          </w:p>
        </w:tc>
        <w:tc>
          <w:tcPr>
            <w:tcW w:w="3402" w:type="dxa"/>
          </w:tcPr>
          <w:p w:rsidR="002D3B71" w:rsidRDefault="00294C01" w:rsidP="00294C01">
            <w:pPr>
              <w:spacing w:line="300" w:lineRule="atLeast"/>
              <w:jc w:val="both"/>
              <w:rPr>
                <w:rFonts w:ascii="Arial" w:eastAsia="Times New Roman" w:hAnsi="Arial" w:cs="Arial"/>
                <w:color w:val="222222"/>
                <w:sz w:val="18"/>
                <w:szCs w:val="18"/>
                <w:lang w:eastAsia="es-MX"/>
              </w:rPr>
            </w:pPr>
            <w:r w:rsidRPr="00FE111C">
              <w:rPr>
                <w:rFonts w:ascii="Arial" w:eastAsia="Times New Roman" w:hAnsi="Arial" w:cs="Arial"/>
                <w:color w:val="222222"/>
                <w:sz w:val="18"/>
                <w:szCs w:val="18"/>
                <w:lang w:eastAsia="es-MX"/>
              </w:rPr>
              <w:t>Fiscalizar en forma posterior los ingresos, egresos y deuda; las garantías que, en su caso, otorgue el Gobierno Federal respecto a empréstitos de los Estados y Municipios; el manejo, la custodia y la aplicación de fondos y recursos de los Poderes de la Unión y de los entes públicos federales, así como realizar auditorías sobre el desempeño en el cumplimiento de los objetivos contenidos en los programas federales, a través de los informes que se rendirán en los términos que disponga la Ley</w:t>
            </w:r>
          </w:p>
        </w:tc>
      </w:tr>
      <w:tr w:rsidR="002D3B71" w:rsidTr="00E84AC2">
        <w:tc>
          <w:tcPr>
            <w:tcW w:w="3687" w:type="dxa"/>
          </w:tcPr>
          <w:p w:rsidR="002D3B71" w:rsidRDefault="0045433D"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Los órganos de control interno pueden establecerse en el seno de los diferentes departamentos e instituciones; los órganos de control externo no pertenecen a la organización de la institución que debe ser controlada.</w:t>
            </w:r>
          </w:p>
        </w:tc>
        <w:tc>
          <w:tcPr>
            <w:tcW w:w="3685" w:type="dxa"/>
          </w:tcPr>
          <w:p w:rsidR="002D3B71" w:rsidRDefault="0045433D"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La independencia de la Autoridad Superior de la EFS, y de los “miembros” (para el caso de instituciones colegiadas), incluyendo la seguridad en el cargo y la inmunidad legal en el cumplimiento normal de sus obligaciones.</w:t>
            </w:r>
          </w:p>
        </w:tc>
        <w:tc>
          <w:tcPr>
            <w:tcW w:w="3402" w:type="dxa"/>
            <w:shd w:val="clear" w:color="auto" w:fill="A6A6A6" w:themeFill="background1" w:themeFillShade="A6"/>
          </w:tcPr>
          <w:p w:rsidR="002D3B71" w:rsidRDefault="002D3B71" w:rsidP="00294C01">
            <w:pPr>
              <w:spacing w:line="300" w:lineRule="atLeast"/>
              <w:jc w:val="both"/>
              <w:rPr>
                <w:rFonts w:ascii="Arial" w:eastAsia="Times New Roman" w:hAnsi="Arial" w:cs="Arial"/>
                <w:color w:val="222222"/>
                <w:sz w:val="18"/>
                <w:szCs w:val="18"/>
                <w:lang w:eastAsia="es-MX"/>
              </w:rPr>
            </w:pPr>
          </w:p>
        </w:tc>
      </w:tr>
      <w:tr w:rsidR="00FE111C" w:rsidTr="00E84AC2">
        <w:tc>
          <w:tcPr>
            <w:tcW w:w="3687" w:type="dxa"/>
          </w:tcPr>
          <w:p w:rsidR="00FE111C" w:rsidRPr="0045433D" w:rsidRDefault="00FE111C"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Incumbe a la Entidad Fiscalizadora Superior, como órgano de control externo, controlar la eficacia de los órganos de control interno.</w:t>
            </w:r>
          </w:p>
        </w:tc>
        <w:tc>
          <w:tcPr>
            <w:tcW w:w="3685" w:type="dxa"/>
            <w:vMerge w:val="restart"/>
          </w:tcPr>
          <w:p w:rsidR="00FE111C" w:rsidRPr="0045433D" w:rsidRDefault="00FE111C"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Las EFS deben tener atribuciones para auditar:</w:t>
            </w:r>
          </w:p>
          <w:p w:rsidR="00FE111C" w:rsidRPr="0045433D" w:rsidRDefault="00FE111C" w:rsidP="00294C01">
            <w:pPr>
              <w:pStyle w:val="Prrafodelista"/>
              <w:numPr>
                <w:ilvl w:val="0"/>
                <w:numId w:val="1"/>
              </w:num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la utilización de los dineros, recursos o activos públicos por parte de un receptor o beneficiario, cualquiera sea su naturaleza jurídica;</w:t>
            </w:r>
          </w:p>
          <w:p w:rsidR="00FE111C" w:rsidRPr="0045433D" w:rsidRDefault="00FE111C" w:rsidP="00294C01">
            <w:pPr>
              <w:pStyle w:val="Prrafodelista"/>
              <w:numPr>
                <w:ilvl w:val="0"/>
                <w:numId w:val="1"/>
              </w:num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la recaudación de ingresos (rentas) adeudadas al gobierno o a instituciones públicas;</w:t>
            </w:r>
          </w:p>
          <w:p w:rsidR="00FE111C" w:rsidRPr="0045433D" w:rsidRDefault="00FE111C" w:rsidP="00294C01">
            <w:pPr>
              <w:pStyle w:val="Prrafodelista"/>
              <w:numPr>
                <w:ilvl w:val="0"/>
                <w:numId w:val="1"/>
              </w:num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lastRenderedPageBreak/>
              <w:t>la legalidad y la regularidad de la contabilidad del gobierno o de las instituciones públicas;</w:t>
            </w:r>
          </w:p>
          <w:p w:rsidR="00FE111C" w:rsidRPr="0045433D" w:rsidRDefault="00FE111C" w:rsidP="00294C01">
            <w:pPr>
              <w:pStyle w:val="Prrafodelista"/>
              <w:numPr>
                <w:ilvl w:val="0"/>
                <w:numId w:val="1"/>
              </w:num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la calidad de la administración e información financiera; y</w:t>
            </w:r>
          </w:p>
          <w:p w:rsidR="00FE111C" w:rsidRPr="0045433D" w:rsidRDefault="00FE111C" w:rsidP="00294C01">
            <w:pPr>
              <w:pStyle w:val="Prrafodelista"/>
              <w:numPr>
                <w:ilvl w:val="0"/>
                <w:numId w:val="1"/>
              </w:num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la economía, ef</w:t>
            </w:r>
            <w:r>
              <w:rPr>
                <w:rFonts w:ascii="Arial" w:eastAsia="Times New Roman" w:hAnsi="Arial" w:cs="Arial"/>
                <w:color w:val="222222"/>
                <w:sz w:val="18"/>
                <w:szCs w:val="18"/>
                <w:lang w:eastAsia="es-MX"/>
              </w:rPr>
              <w:t>iciencia y efi</w:t>
            </w:r>
            <w:r w:rsidRPr="0045433D">
              <w:rPr>
                <w:rFonts w:ascii="Arial" w:eastAsia="Times New Roman" w:hAnsi="Arial" w:cs="Arial"/>
                <w:color w:val="222222"/>
                <w:sz w:val="18"/>
                <w:szCs w:val="18"/>
                <w:lang w:eastAsia="es-MX"/>
              </w:rPr>
              <w:t>cacia de las operaciones del gobierno o de las instituciones públicas.</w:t>
            </w:r>
          </w:p>
        </w:tc>
        <w:tc>
          <w:tcPr>
            <w:tcW w:w="3402" w:type="dxa"/>
            <w:vMerge w:val="restart"/>
          </w:tcPr>
          <w:p w:rsidR="00FE111C" w:rsidRDefault="00FE111C" w:rsidP="00294C01">
            <w:pPr>
              <w:spacing w:line="300" w:lineRule="atLeast"/>
              <w:jc w:val="both"/>
              <w:rPr>
                <w:rFonts w:ascii="Arial" w:eastAsia="Times New Roman" w:hAnsi="Arial" w:cs="Arial"/>
                <w:color w:val="222222"/>
                <w:sz w:val="18"/>
                <w:szCs w:val="18"/>
                <w:lang w:eastAsia="es-MX"/>
              </w:rPr>
            </w:pPr>
            <w:r w:rsidRPr="00FE111C">
              <w:rPr>
                <w:rFonts w:ascii="Arial" w:eastAsia="Times New Roman" w:hAnsi="Arial" w:cs="Arial"/>
                <w:color w:val="000000"/>
                <w:sz w:val="18"/>
                <w:szCs w:val="20"/>
                <w:lang w:val="es-ES_tradnl" w:eastAsia="es-MX"/>
              </w:rPr>
              <w:lastRenderedPageBreak/>
              <w:t>fiscalizará los recursos federales que se destinen y se ejerzan por cualquier entidad, persona física o moral, pública o privada, y los transferidos a fideicomisos, fondos y mandatos, públicos y privados, o cualquier otra figura jurídica</w:t>
            </w:r>
          </w:p>
        </w:tc>
      </w:tr>
      <w:tr w:rsidR="00FE111C" w:rsidTr="00E84AC2">
        <w:tc>
          <w:tcPr>
            <w:tcW w:w="3687" w:type="dxa"/>
          </w:tcPr>
          <w:p w:rsidR="00FE111C" w:rsidRPr="0045433D" w:rsidRDefault="00FE111C"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Los objetivos de control a que tienen que aspirar las Entidades Fiscalizadoras Superiores, legalidad, regularidad, rentabilidad, utilidad y racionalidad de las Operaciones, tienen básicamente la misma importancia.</w:t>
            </w:r>
          </w:p>
        </w:tc>
        <w:tc>
          <w:tcPr>
            <w:tcW w:w="3685" w:type="dxa"/>
            <w:vMerge/>
          </w:tcPr>
          <w:p w:rsidR="00FE111C" w:rsidRDefault="00FE111C" w:rsidP="00294C01">
            <w:pPr>
              <w:spacing w:line="300" w:lineRule="atLeast"/>
              <w:jc w:val="both"/>
              <w:rPr>
                <w:rFonts w:ascii="Arial" w:eastAsia="Times New Roman" w:hAnsi="Arial" w:cs="Arial"/>
                <w:color w:val="222222"/>
                <w:sz w:val="18"/>
                <w:szCs w:val="18"/>
                <w:lang w:eastAsia="es-MX"/>
              </w:rPr>
            </w:pPr>
          </w:p>
        </w:tc>
        <w:tc>
          <w:tcPr>
            <w:tcW w:w="3402" w:type="dxa"/>
            <w:vMerge/>
          </w:tcPr>
          <w:p w:rsidR="00FE111C" w:rsidRDefault="00FE111C" w:rsidP="00294C01">
            <w:pPr>
              <w:spacing w:line="300" w:lineRule="atLeast"/>
              <w:jc w:val="both"/>
              <w:rPr>
                <w:rFonts w:ascii="Arial" w:eastAsia="Times New Roman" w:hAnsi="Arial" w:cs="Arial"/>
                <w:color w:val="222222"/>
                <w:sz w:val="18"/>
                <w:szCs w:val="18"/>
                <w:lang w:eastAsia="es-MX"/>
              </w:rPr>
            </w:pPr>
          </w:p>
        </w:tc>
      </w:tr>
      <w:tr w:rsidR="00FE111C" w:rsidTr="00E84AC2">
        <w:tc>
          <w:tcPr>
            <w:tcW w:w="3687" w:type="dxa"/>
          </w:tcPr>
          <w:p w:rsidR="00FE111C" w:rsidRPr="0045433D" w:rsidRDefault="00FE111C"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lastRenderedPageBreak/>
              <w:t>Las Entidades Fiscalizadoras Superiores sólo pueden cumplir eficazmente sus funciones si son independientes de la institución controlada y se hallan protegidas contra influencias exteriores.</w:t>
            </w:r>
          </w:p>
        </w:tc>
        <w:tc>
          <w:tcPr>
            <w:tcW w:w="3685" w:type="dxa"/>
            <w:vMerge/>
          </w:tcPr>
          <w:p w:rsidR="00FE111C" w:rsidRDefault="00FE111C" w:rsidP="00294C01">
            <w:pPr>
              <w:spacing w:line="300" w:lineRule="atLeast"/>
              <w:jc w:val="both"/>
              <w:rPr>
                <w:rFonts w:ascii="Arial" w:eastAsia="Times New Roman" w:hAnsi="Arial" w:cs="Arial"/>
                <w:color w:val="222222"/>
                <w:sz w:val="18"/>
                <w:szCs w:val="18"/>
                <w:lang w:eastAsia="es-MX"/>
              </w:rPr>
            </w:pPr>
          </w:p>
        </w:tc>
        <w:tc>
          <w:tcPr>
            <w:tcW w:w="3402" w:type="dxa"/>
            <w:vMerge/>
          </w:tcPr>
          <w:p w:rsidR="00FE111C" w:rsidRDefault="00FE111C" w:rsidP="00294C01">
            <w:pPr>
              <w:spacing w:line="300" w:lineRule="atLeast"/>
              <w:jc w:val="both"/>
              <w:rPr>
                <w:rFonts w:ascii="Arial" w:eastAsia="Times New Roman" w:hAnsi="Arial" w:cs="Arial"/>
                <w:color w:val="222222"/>
                <w:sz w:val="18"/>
                <w:szCs w:val="18"/>
                <w:lang w:eastAsia="es-MX"/>
              </w:rPr>
            </w:pPr>
          </w:p>
        </w:tc>
      </w:tr>
      <w:tr w:rsidR="0045433D" w:rsidTr="00E84AC2">
        <w:tc>
          <w:tcPr>
            <w:tcW w:w="3687" w:type="dxa"/>
          </w:tcPr>
          <w:p w:rsidR="0045433D" w:rsidRPr="0045433D" w:rsidRDefault="0045433D"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lastRenderedPageBreak/>
              <w:t>Las Entidades Fiscalizadoras Superiores y el grado de su independencia deben regularse en la Constitución; los aspectos concretos podrán ser regulados por medio de Leyes.</w:t>
            </w:r>
          </w:p>
        </w:tc>
        <w:tc>
          <w:tcPr>
            <w:tcW w:w="3685" w:type="dxa"/>
          </w:tcPr>
          <w:p w:rsidR="0045433D" w:rsidRDefault="0045433D"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Las EFS no deben participar, ni dar la impresión de participar, en ningún aspecto, de la gestión de las organizaciones que auditan.</w:t>
            </w:r>
          </w:p>
        </w:tc>
        <w:tc>
          <w:tcPr>
            <w:tcW w:w="3402" w:type="dxa"/>
          </w:tcPr>
          <w:p w:rsidR="0045433D" w:rsidRDefault="00FE111C" w:rsidP="00294C01">
            <w:pPr>
              <w:spacing w:line="300" w:lineRule="atLeast"/>
              <w:jc w:val="both"/>
              <w:rPr>
                <w:rFonts w:ascii="Arial" w:eastAsia="Times New Roman" w:hAnsi="Arial" w:cs="Arial"/>
                <w:color w:val="222222"/>
                <w:sz w:val="18"/>
                <w:szCs w:val="18"/>
                <w:lang w:eastAsia="es-MX"/>
              </w:rPr>
            </w:pPr>
            <w:r w:rsidRPr="00FE111C">
              <w:rPr>
                <w:rFonts w:ascii="Arial" w:eastAsia="Times New Roman" w:hAnsi="Arial" w:cs="Arial"/>
                <w:color w:val="000000"/>
                <w:sz w:val="18"/>
                <w:szCs w:val="20"/>
                <w:lang w:val="es-ES_tradnl" w:eastAsia="es-MX"/>
              </w:rPr>
              <w:t>La Auditoría Superior de la Federación podrá solicitar y revisar, de manera casuística y concreta, información de ejercicios anteriores al de la Cuenta Pública en revisión</w:t>
            </w:r>
          </w:p>
        </w:tc>
      </w:tr>
      <w:tr w:rsidR="0045433D" w:rsidTr="00E84AC2">
        <w:tc>
          <w:tcPr>
            <w:tcW w:w="3687" w:type="dxa"/>
          </w:tcPr>
          <w:p w:rsidR="0045433D" w:rsidRPr="0045433D" w:rsidRDefault="0045433D"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Los funcionarios de control de las Entidades Fiscalizadoras Superiores deben ser absolutamente independientes, en su carrera profesional, de los organismos controlados y sus influencias</w:t>
            </w:r>
          </w:p>
        </w:tc>
        <w:tc>
          <w:tcPr>
            <w:tcW w:w="3685" w:type="dxa"/>
          </w:tcPr>
          <w:p w:rsidR="0045433D" w:rsidRDefault="00DD0292" w:rsidP="00294C01">
            <w:pPr>
              <w:spacing w:line="300" w:lineRule="atLeast"/>
              <w:jc w:val="both"/>
              <w:rPr>
                <w:rFonts w:ascii="Arial" w:eastAsia="Times New Roman" w:hAnsi="Arial" w:cs="Arial"/>
                <w:color w:val="222222"/>
                <w:sz w:val="18"/>
                <w:szCs w:val="18"/>
                <w:lang w:eastAsia="es-MX"/>
              </w:rPr>
            </w:pPr>
            <w:r w:rsidRPr="00DD0292">
              <w:rPr>
                <w:rFonts w:ascii="Arial" w:eastAsia="Times New Roman" w:hAnsi="Arial" w:cs="Arial"/>
                <w:color w:val="222222"/>
                <w:sz w:val="18"/>
                <w:szCs w:val="18"/>
                <w:lang w:eastAsia="es-MX"/>
              </w:rPr>
              <w:t>Las EFS deben tener plenas facultades discrecionales para cumplir con sus responsabilidades, deben cooperar con los gobiernos o instituciones públicas que procuran mejorar la utilización y la gestión de los fondos públicos.</w:t>
            </w:r>
          </w:p>
        </w:tc>
        <w:tc>
          <w:tcPr>
            <w:tcW w:w="3402" w:type="dxa"/>
            <w:shd w:val="clear" w:color="auto" w:fill="A6A6A6" w:themeFill="background1" w:themeFillShade="A6"/>
          </w:tcPr>
          <w:p w:rsidR="0045433D" w:rsidRDefault="0045433D" w:rsidP="00294C01">
            <w:pPr>
              <w:spacing w:line="300" w:lineRule="atLeast"/>
              <w:jc w:val="both"/>
              <w:rPr>
                <w:rFonts w:ascii="Arial" w:eastAsia="Times New Roman" w:hAnsi="Arial" w:cs="Arial"/>
                <w:color w:val="222222"/>
                <w:sz w:val="18"/>
                <w:szCs w:val="18"/>
                <w:lang w:eastAsia="es-MX"/>
              </w:rPr>
            </w:pPr>
          </w:p>
        </w:tc>
      </w:tr>
      <w:tr w:rsidR="0045433D" w:rsidTr="00E84AC2">
        <w:tc>
          <w:tcPr>
            <w:tcW w:w="3687" w:type="dxa"/>
          </w:tcPr>
          <w:p w:rsidR="0045433D" w:rsidRPr="0045433D" w:rsidRDefault="0045433D"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Las Entidades Fiscalizadoras Superiores tienen que poseer la facultad, llegado el caso, de solicitar directamente del organismo encargado del presupuesto estatal los medios financieros que estimen necesarios</w:t>
            </w:r>
          </w:p>
        </w:tc>
        <w:tc>
          <w:tcPr>
            <w:tcW w:w="3685" w:type="dxa"/>
          </w:tcPr>
          <w:p w:rsidR="0045433D" w:rsidRDefault="00DD0292" w:rsidP="00294C01">
            <w:pPr>
              <w:spacing w:line="300" w:lineRule="atLeast"/>
              <w:jc w:val="both"/>
              <w:rPr>
                <w:rFonts w:ascii="Arial" w:eastAsia="Times New Roman" w:hAnsi="Arial" w:cs="Arial"/>
                <w:color w:val="222222"/>
                <w:sz w:val="18"/>
                <w:szCs w:val="18"/>
                <w:lang w:eastAsia="es-MX"/>
              </w:rPr>
            </w:pPr>
            <w:r w:rsidRPr="00DD0292">
              <w:rPr>
                <w:rFonts w:ascii="Arial" w:eastAsia="Times New Roman" w:hAnsi="Arial" w:cs="Arial"/>
                <w:color w:val="222222"/>
                <w:sz w:val="18"/>
                <w:szCs w:val="18"/>
                <w:lang w:eastAsia="es-MX"/>
              </w:rPr>
              <w:t>Las EFS deben disponer de las potestades adecuadas para tener acceso oportuno, ilimitado, directo y libre, a toda la documentación y la información necesaria para el apropiado cumplimiento de sus responsabilidades reglamentarias.</w:t>
            </w:r>
          </w:p>
        </w:tc>
        <w:tc>
          <w:tcPr>
            <w:tcW w:w="3402" w:type="dxa"/>
          </w:tcPr>
          <w:p w:rsidR="0045433D" w:rsidRDefault="00FE111C" w:rsidP="00294C01">
            <w:pPr>
              <w:spacing w:line="300" w:lineRule="atLeast"/>
              <w:jc w:val="both"/>
              <w:rPr>
                <w:rFonts w:ascii="Arial" w:eastAsia="Times New Roman" w:hAnsi="Arial" w:cs="Arial"/>
                <w:color w:val="222222"/>
                <w:sz w:val="18"/>
                <w:szCs w:val="18"/>
                <w:lang w:eastAsia="es-MX"/>
              </w:rPr>
            </w:pPr>
            <w:r w:rsidRPr="00FE111C">
              <w:rPr>
                <w:rFonts w:ascii="Arial" w:eastAsia="Times New Roman" w:hAnsi="Arial" w:cs="Arial"/>
                <w:color w:val="000000"/>
                <w:sz w:val="18"/>
                <w:szCs w:val="20"/>
                <w:lang w:val="es-ES_tradnl" w:eastAsia="es-MX"/>
              </w:rPr>
              <w:t>Investigar los actos u omisiones que impliquen alguna irregularidad o conducta ilícita en el ingreso, egreso, manejo, custodia y aplicación</w:t>
            </w:r>
            <w:r>
              <w:rPr>
                <w:rFonts w:ascii="Arial" w:eastAsia="Times New Roman" w:hAnsi="Arial" w:cs="Arial"/>
                <w:color w:val="000000"/>
                <w:sz w:val="18"/>
                <w:szCs w:val="20"/>
                <w:lang w:val="es-ES_tradnl" w:eastAsia="es-MX"/>
              </w:rPr>
              <w:t xml:space="preserve"> de fondos y recursos federales</w:t>
            </w:r>
          </w:p>
        </w:tc>
      </w:tr>
      <w:tr w:rsidR="0045433D" w:rsidTr="00E84AC2">
        <w:tc>
          <w:tcPr>
            <w:tcW w:w="3687" w:type="dxa"/>
          </w:tcPr>
          <w:p w:rsidR="0045433D" w:rsidRPr="0045433D" w:rsidRDefault="0045433D"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La independencia otorgada a las Entidades Fiscalizadoras Superiores por la Constitución y la Ley, les garantiza un máximo de iniciativa y responsabilidad, aun cuando actúen como órganos del Parlamento y ejerzan el control por encargo de éste.</w:t>
            </w:r>
          </w:p>
        </w:tc>
        <w:tc>
          <w:tcPr>
            <w:tcW w:w="3685" w:type="dxa"/>
          </w:tcPr>
          <w:p w:rsidR="0045433D" w:rsidRDefault="00DD0292" w:rsidP="00294C01">
            <w:pPr>
              <w:spacing w:line="300" w:lineRule="atLeast"/>
              <w:jc w:val="both"/>
              <w:rPr>
                <w:rFonts w:ascii="Arial" w:eastAsia="Times New Roman" w:hAnsi="Arial" w:cs="Arial"/>
                <w:color w:val="222222"/>
                <w:sz w:val="18"/>
                <w:szCs w:val="18"/>
                <w:lang w:eastAsia="es-MX"/>
              </w:rPr>
            </w:pPr>
            <w:r w:rsidRPr="00DD0292">
              <w:rPr>
                <w:rFonts w:ascii="Arial" w:eastAsia="Times New Roman" w:hAnsi="Arial" w:cs="Arial"/>
                <w:color w:val="222222"/>
                <w:sz w:val="18"/>
                <w:szCs w:val="18"/>
                <w:lang w:eastAsia="es-MX"/>
              </w:rPr>
              <w:t>Las EFS tienen libertad para formular observaciones y recomendaciones en sus informes de auditoría, tomando en consideración, según sea apropiado, la opinión de la entidad auditada.</w:t>
            </w:r>
          </w:p>
        </w:tc>
        <w:tc>
          <w:tcPr>
            <w:tcW w:w="3402" w:type="dxa"/>
          </w:tcPr>
          <w:p w:rsidR="0045433D" w:rsidRDefault="00FE111C" w:rsidP="00294C01">
            <w:pPr>
              <w:spacing w:line="300" w:lineRule="atLeast"/>
              <w:jc w:val="both"/>
              <w:rPr>
                <w:rFonts w:ascii="Arial" w:eastAsia="Times New Roman" w:hAnsi="Arial" w:cs="Arial"/>
                <w:color w:val="222222"/>
                <w:sz w:val="18"/>
                <w:szCs w:val="18"/>
                <w:lang w:eastAsia="es-MX"/>
              </w:rPr>
            </w:pPr>
            <w:r w:rsidRPr="00FE111C">
              <w:rPr>
                <w:rFonts w:ascii="Arial" w:eastAsia="Times New Roman" w:hAnsi="Arial" w:cs="Arial"/>
                <w:color w:val="000000"/>
                <w:sz w:val="18"/>
                <w:szCs w:val="20"/>
                <w:lang w:val="es-ES_tradnl" w:eastAsia="es-MX"/>
              </w:rPr>
              <w:t>La Auditoría Superior de la Federación deberá guardar reserva de sus actuaciones y observaciones hasta que rinda los informes individuales de auditoría y el Informe General Ejecutivo a la Cámara de Diputados</w:t>
            </w:r>
          </w:p>
        </w:tc>
      </w:tr>
      <w:tr w:rsidR="0045433D" w:rsidTr="00E84AC2">
        <w:tc>
          <w:tcPr>
            <w:tcW w:w="3687" w:type="dxa"/>
          </w:tcPr>
          <w:p w:rsidR="0045433D" w:rsidRPr="0045433D" w:rsidRDefault="0045433D"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Las competencias de control de las Entidades Fiscalizadoras Superiores tienen que ser especificadas en la Constitución, al menos en sus rasgos fundamentales, los detalles pueden regularse por Ley.</w:t>
            </w:r>
          </w:p>
        </w:tc>
        <w:tc>
          <w:tcPr>
            <w:tcW w:w="3685" w:type="dxa"/>
          </w:tcPr>
          <w:p w:rsidR="0045433D" w:rsidRDefault="00DD0292" w:rsidP="00294C01">
            <w:pPr>
              <w:spacing w:line="300" w:lineRule="atLeast"/>
              <w:jc w:val="both"/>
              <w:rPr>
                <w:rFonts w:ascii="Arial" w:eastAsia="Times New Roman" w:hAnsi="Arial" w:cs="Arial"/>
                <w:color w:val="222222"/>
                <w:sz w:val="18"/>
                <w:szCs w:val="18"/>
                <w:lang w:eastAsia="es-MX"/>
              </w:rPr>
            </w:pPr>
            <w:r w:rsidRPr="00DD0292">
              <w:rPr>
                <w:rFonts w:ascii="Arial" w:eastAsia="Times New Roman" w:hAnsi="Arial" w:cs="Arial"/>
                <w:color w:val="222222"/>
                <w:sz w:val="18"/>
                <w:szCs w:val="18"/>
                <w:lang w:eastAsia="es-MX"/>
              </w:rPr>
              <w:t>Las EFS no deben estar impedidas de informar sobre los resultados de su</w:t>
            </w:r>
            <w:r>
              <w:rPr>
                <w:rFonts w:ascii="Arial" w:eastAsia="Times New Roman" w:hAnsi="Arial" w:cs="Arial"/>
                <w:color w:val="222222"/>
                <w:sz w:val="18"/>
                <w:szCs w:val="18"/>
                <w:lang w:eastAsia="es-MX"/>
              </w:rPr>
              <w:t xml:space="preserve"> </w:t>
            </w:r>
            <w:r w:rsidRPr="00DD0292">
              <w:rPr>
                <w:rFonts w:ascii="Arial" w:eastAsia="Times New Roman" w:hAnsi="Arial" w:cs="Arial"/>
                <w:color w:val="222222"/>
                <w:sz w:val="18"/>
                <w:szCs w:val="18"/>
                <w:lang w:eastAsia="es-MX"/>
              </w:rPr>
              <w:t>trabajo de auditoría. Deben estar obligadas por ley a informar por lo menos una vez al año sobre los resultados de su trabajo de auditoría.</w:t>
            </w:r>
          </w:p>
        </w:tc>
        <w:tc>
          <w:tcPr>
            <w:tcW w:w="3402" w:type="dxa"/>
          </w:tcPr>
          <w:p w:rsidR="0045433D" w:rsidRDefault="00525FB7" w:rsidP="00294C01">
            <w:pPr>
              <w:spacing w:line="300" w:lineRule="atLeast"/>
              <w:jc w:val="both"/>
              <w:rPr>
                <w:rFonts w:ascii="Arial" w:eastAsia="Times New Roman" w:hAnsi="Arial" w:cs="Arial"/>
                <w:color w:val="222222"/>
                <w:sz w:val="18"/>
                <w:szCs w:val="18"/>
                <w:lang w:eastAsia="es-MX"/>
              </w:rPr>
            </w:pPr>
            <w:r w:rsidRPr="00525FB7">
              <w:rPr>
                <w:rFonts w:ascii="Arial" w:eastAsia="Times New Roman" w:hAnsi="Arial" w:cs="Arial"/>
                <w:color w:val="000000"/>
                <w:sz w:val="18"/>
                <w:szCs w:val="20"/>
                <w:lang w:eastAsia="es-MX"/>
              </w:rPr>
              <w:t>Derivado de sus investigaciones, promover las responsabilidades que sean procedentes ante el Tribunal Federal de Justicia Administrativa y la Fiscalía Especializada en Combate a la Corrupción</w:t>
            </w:r>
          </w:p>
        </w:tc>
      </w:tr>
      <w:tr w:rsidR="0045433D" w:rsidTr="00E84AC2">
        <w:tc>
          <w:tcPr>
            <w:tcW w:w="3687" w:type="dxa"/>
          </w:tcPr>
          <w:p w:rsidR="0045433D" w:rsidRPr="0045433D" w:rsidRDefault="0045433D"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Las Entidades Fiscalizadoras Superiores deben ejercer un control, lo más amplio posible, de la recaudación de los ingresos fiscales, incluyendo las declaraciones individuales de los contribuyentes.</w:t>
            </w:r>
          </w:p>
        </w:tc>
        <w:tc>
          <w:tcPr>
            <w:tcW w:w="3685" w:type="dxa"/>
          </w:tcPr>
          <w:p w:rsidR="0045433D" w:rsidRDefault="00DD0292" w:rsidP="00294C01">
            <w:pPr>
              <w:spacing w:line="300" w:lineRule="atLeast"/>
              <w:jc w:val="both"/>
              <w:rPr>
                <w:rFonts w:ascii="Arial" w:eastAsia="Times New Roman" w:hAnsi="Arial" w:cs="Arial"/>
                <w:color w:val="222222"/>
                <w:sz w:val="18"/>
                <w:szCs w:val="18"/>
                <w:lang w:eastAsia="es-MX"/>
              </w:rPr>
            </w:pPr>
            <w:r w:rsidRPr="00DD0292">
              <w:rPr>
                <w:rFonts w:ascii="Arial" w:eastAsia="Times New Roman" w:hAnsi="Arial" w:cs="Arial"/>
                <w:color w:val="222222"/>
                <w:sz w:val="18"/>
                <w:szCs w:val="18"/>
                <w:lang w:eastAsia="es-MX"/>
              </w:rPr>
              <w:t>Las EFS tienen libertad para formular observaciones y recomendaciones en sus informes de auditoría, tomando en consideración, según sea apropiado, la opinión de la entidad auditada.</w:t>
            </w:r>
          </w:p>
        </w:tc>
        <w:tc>
          <w:tcPr>
            <w:tcW w:w="3402" w:type="dxa"/>
          </w:tcPr>
          <w:p w:rsidR="0045433D" w:rsidRPr="00525FB7" w:rsidRDefault="00525FB7" w:rsidP="00294C01">
            <w:pPr>
              <w:spacing w:line="300" w:lineRule="atLeast"/>
              <w:jc w:val="both"/>
              <w:rPr>
                <w:rFonts w:ascii="Arial" w:eastAsia="Times New Roman" w:hAnsi="Arial" w:cs="Arial"/>
                <w:color w:val="222222"/>
                <w:sz w:val="18"/>
                <w:szCs w:val="18"/>
                <w:lang w:eastAsia="es-MX"/>
              </w:rPr>
            </w:pPr>
            <w:r w:rsidRPr="00525FB7">
              <w:rPr>
                <w:rFonts w:ascii="Arial" w:eastAsia="Times New Roman" w:hAnsi="Arial" w:cs="Arial"/>
                <w:color w:val="000000"/>
                <w:sz w:val="18"/>
                <w:szCs w:val="18"/>
                <w:lang w:eastAsia="es-MX"/>
              </w:rPr>
              <w:t xml:space="preserve">Los Poderes de la Unión, las entidades federativas y las demás entidades fiscalizadas facilitarán los auxilios que requiera la Auditoría Superior de la Federación para el ejercicio de sus </w:t>
            </w:r>
            <w:r w:rsidRPr="00525FB7">
              <w:rPr>
                <w:rFonts w:ascii="Arial" w:eastAsia="Times New Roman" w:hAnsi="Arial" w:cs="Arial"/>
                <w:color w:val="000000"/>
                <w:sz w:val="18"/>
                <w:szCs w:val="18"/>
                <w:lang w:eastAsia="es-MX"/>
              </w:rPr>
              <w:lastRenderedPageBreak/>
              <w:t>funciones y, en caso de no hacerlo, se harán acreedores a las sanciones que establezca la Ley</w:t>
            </w:r>
          </w:p>
        </w:tc>
      </w:tr>
      <w:tr w:rsidR="00525FB7" w:rsidTr="00E84AC2">
        <w:tc>
          <w:tcPr>
            <w:tcW w:w="3687" w:type="dxa"/>
          </w:tcPr>
          <w:p w:rsidR="00525FB7" w:rsidRPr="0045433D" w:rsidRDefault="00525FB7"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lastRenderedPageBreak/>
              <w:t>Los recursos considerables que el Estado emplea para contratos públicos y obras públicas justifican un control especialmente escrupuloso de los recursos empleados.</w:t>
            </w:r>
          </w:p>
        </w:tc>
        <w:tc>
          <w:tcPr>
            <w:tcW w:w="3685" w:type="dxa"/>
            <w:shd w:val="clear" w:color="auto" w:fill="A6A6A6" w:themeFill="background1" w:themeFillShade="A6"/>
          </w:tcPr>
          <w:p w:rsidR="00525FB7" w:rsidRDefault="00525FB7" w:rsidP="00294C01">
            <w:pPr>
              <w:spacing w:line="300" w:lineRule="atLeast"/>
              <w:jc w:val="both"/>
              <w:rPr>
                <w:rFonts w:ascii="Arial" w:eastAsia="Times New Roman" w:hAnsi="Arial" w:cs="Arial"/>
                <w:color w:val="222222"/>
                <w:sz w:val="18"/>
                <w:szCs w:val="18"/>
                <w:lang w:eastAsia="es-MX"/>
              </w:rPr>
            </w:pPr>
          </w:p>
        </w:tc>
        <w:tc>
          <w:tcPr>
            <w:tcW w:w="3402" w:type="dxa"/>
            <w:vMerge w:val="restart"/>
          </w:tcPr>
          <w:p w:rsidR="00525FB7" w:rsidRPr="00525FB7" w:rsidRDefault="00525FB7" w:rsidP="00294C01">
            <w:pPr>
              <w:spacing w:line="300" w:lineRule="atLeast"/>
              <w:jc w:val="both"/>
              <w:rPr>
                <w:rFonts w:ascii="Arial" w:eastAsia="Times New Roman" w:hAnsi="Arial" w:cs="Arial"/>
                <w:color w:val="222222"/>
                <w:sz w:val="18"/>
                <w:szCs w:val="18"/>
                <w:lang w:eastAsia="es-MX"/>
              </w:rPr>
            </w:pPr>
            <w:r w:rsidRPr="00525FB7">
              <w:rPr>
                <w:rFonts w:ascii="Arial" w:eastAsia="Times New Roman" w:hAnsi="Arial" w:cs="Arial"/>
                <w:color w:val="000000"/>
                <w:sz w:val="18"/>
                <w:szCs w:val="20"/>
                <w:lang w:eastAsia="es-MX"/>
              </w:rPr>
              <w:t>los servidores públicos federales y locales, así como cualquier entidad, persona física o moral, pública o privada, fideicomiso, mandato o fondo, o cualquier otra figura jurídica, que reciban o ejerzan recursos públicos federales, deberán proporcionar la información y documentación que solicite la Auditoría Superior de la Federación, de conformidad con los procedimientos establecidos en las leyes y sin perjuicio de la competencia de otras autoridades y de los derechos de los usuarios del sistema financiero</w:t>
            </w:r>
          </w:p>
        </w:tc>
      </w:tr>
      <w:tr w:rsidR="00525FB7" w:rsidTr="00E84AC2">
        <w:tc>
          <w:tcPr>
            <w:tcW w:w="3687" w:type="dxa"/>
          </w:tcPr>
          <w:p w:rsidR="00525FB7" w:rsidRPr="0045433D" w:rsidRDefault="00525FB7" w:rsidP="00294C01">
            <w:pPr>
              <w:spacing w:line="300" w:lineRule="atLeast"/>
              <w:jc w:val="both"/>
              <w:rPr>
                <w:rFonts w:ascii="Arial" w:eastAsia="Times New Roman" w:hAnsi="Arial" w:cs="Arial"/>
                <w:color w:val="222222"/>
                <w:sz w:val="18"/>
                <w:szCs w:val="18"/>
                <w:lang w:eastAsia="es-MX"/>
              </w:rPr>
            </w:pPr>
            <w:r w:rsidRPr="0045433D">
              <w:rPr>
                <w:rFonts w:ascii="Arial" w:eastAsia="Times New Roman" w:hAnsi="Arial" w:cs="Arial"/>
                <w:color w:val="222222"/>
                <w:sz w:val="18"/>
                <w:szCs w:val="18"/>
                <w:lang w:eastAsia="es-MX"/>
              </w:rPr>
              <w:t>En el control de las obras públicas, la Entidad Fiscalizadora Superior debe procurar que existan normas apropiadas que regulen la actividad de la administración de dichas obras.</w:t>
            </w:r>
          </w:p>
        </w:tc>
        <w:tc>
          <w:tcPr>
            <w:tcW w:w="3685" w:type="dxa"/>
            <w:shd w:val="clear" w:color="auto" w:fill="A6A6A6" w:themeFill="background1" w:themeFillShade="A6"/>
          </w:tcPr>
          <w:p w:rsidR="00525FB7" w:rsidRDefault="00525FB7" w:rsidP="00294C01">
            <w:pPr>
              <w:spacing w:line="300" w:lineRule="atLeast"/>
              <w:jc w:val="both"/>
              <w:rPr>
                <w:rFonts w:ascii="Arial" w:eastAsia="Times New Roman" w:hAnsi="Arial" w:cs="Arial"/>
                <w:color w:val="222222"/>
                <w:sz w:val="18"/>
                <w:szCs w:val="18"/>
                <w:lang w:eastAsia="es-MX"/>
              </w:rPr>
            </w:pPr>
          </w:p>
        </w:tc>
        <w:tc>
          <w:tcPr>
            <w:tcW w:w="3402" w:type="dxa"/>
            <w:vMerge/>
          </w:tcPr>
          <w:p w:rsidR="00525FB7" w:rsidRDefault="00525FB7" w:rsidP="00294C01">
            <w:pPr>
              <w:spacing w:line="300" w:lineRule="atLeast"/>
              <w:jc w:val="both"/>
              <w:rPr>
                <w:rFonts w:ascii="Arial" w:eastAsia="Times New Roman" w:hAnsi="Arial" w:cs="Arial"/>
                <w:color w:val="222222"/>
                <w:sz w:val="18"/>
                <w:szCs w:val="18"/>
                <w:lang w:eastAsia="es-MX"/>
              </w:rPr>
            </w:pPr>
          </w:p>
        </w:tc>
      </w:tr>
      <w:tr w:rsidR="00FE111C" w:rsidTr="00E84AC2">
        <w:tc>
          <w:tcPr>
            <w:tcW w:w="3687" w:type="dxa"/>
            <w:shd w:val="clear" w:color="auto" w:fill="A6A6A6" w:themeFill="background1" w:themeFillShade="A6"/>
          </w:tcPr>
          <w:p w:rsidR="00FE111C" w:rsidRPr="0045433D" w:rsidRDefault="00FE111C" w:rsidP="00294C01">
            <w:pPr>
              <w:spacing w:line="300" w:lineRule="atLeast"/>
              <w:jc w:val="both"/>
              <w:rPr>
                <w:rFonts w:ascii="Arial" w:eastAsia="Times New Roman" w:hAnsi="Arial" w:cs="Arial"/>
                <w:color w:val="222222"/>
                <w:sz w:val="18"/>
                <w:szCs w:val="18"/>
                <w:lang w:eastAsia="es-MX"/>
              </w:rPr>
            </w:pPr>
          </w:p>
        </w:tc>
        <w:tc>
          <w:tcPr>
            <w:tcW w:w="3685" w:type="dxa"/>
          </w:tcPr>
          <w:p w:rsidR="00FE111C" w:rsidRDefault="00FE111C" w:rsidP="00294C01">
            <w:pPr>
              <w:spacing w:line="300" w:lineRule="atLeast"/>
              <w:jc w:val="both"/>
              <w:rPr>
                <w:rFonts w:ascii="Arial" w:eastAsia="Times New Roman" w:hAnsi="Arial" w:cs="Arial"/>
                <w:color w:val="222222"/>
                <w:sz w:val="18"/>
                <w:szCs w:val="18"/>
                <w:lang w:eastAsia="es-MX"/>
              </w:rPr>
            </w:pPr>
            <w:r w:rsidRPr="00DD0292">
              <w:rPr>
                <w:rFonts w:ascii="Arial" w:eastAsia="Times New Roman" w:hAnsi="Arial" w:cs="Arial"/>
                <w:color w:val="222222"/>
                <w:sz w:val="18"/>
                <w:szCs w:val="18"/>
                <w:lang w:eastAsia="es-MX"/>
              </w:rPr>
              <w:t>Las EFS presentan sus informes de auditoría al Poder Legislativo, a una de sus comisiones, o al directorio de la entidad auditada, según corresponda, para la revisión y el seguimiento de las recomendaciones específicas sobre adopción de medidas correctivas.</w:t>
            </w:r>
          </w:p>
        </w:tc>
        <w:tc>
          <w:tcPr>
            <w:tcW w:w="3402" w:type="dxa"/>
            <w:vMerge w:val="restart"/>
          </w:tcPr>
          <w:p w:rsidR="00FE111C" w:rsidRDefault="00FE111C" w:rsidP="00294C01">
            <w:pPr>
              <w:spacing w:line="300" w:lineRule="atLeast"/>
              <w:jc w:val="both"/>
              <w:rPr>
                <w:rFonts w:ascii="Arial" w:eastAsia="Times New Roman" w:hAnsi="Arial" w:cs="Arial"/>
                <w:color w:val="222222"/>
                <w:sz w:val="18"/>
                <w:szCs w:val="18"/>
                <w:lang w:eastAsia="es-MX"/>
              </w:rPr>
            </w:pPr>
            <w:r w:rsidRPr="00FE111C">
              <w:rPr>
                <w:rFonts w:ascii="Arial" w:eastAsia="Times New Roman" w:hAnsi="Arial" w:cs="Arial"/>
                <w:color w:val="000000"/>
                <w:sz w:val="18"/>
                <w:szCs w:val="20"/>
                <w:lang w:eastAsia="es-MX"/>
              </w:rPr>
              <w:t>Entregar a la Cámara de Diputados, el último día hábil de los meses de junio y octubre, así como el 20 de febrero del año siguiente al de la presentación de la Cuenta Pública, los informes individuales de auditoría que concluya durante el periodo respectivo. Asimismo, en esta última fecha, entregar el Informe General Ejecutivo del Resultado de la Fiscalización Superior de la Cuenta Pública</w:t>
            </w:r>
          </w:p>
        </w:tc>
      </w:tr>
      <w:tr w:rsidR="00FE111C" w:rsidTr="00E84AC2">
        <w:tc>
          <w:tcPr>
            <w:tcW w:w="3687" w:type="dxa"/>
            <w:shd w:val="clear" w:color="auto" w:fill="A6A6A6" w:themeFill="background1" w:themeFillShade="A6"/>
          </w:tcPr>
          <w:p w:rsidR="00FE111C" w:rsidRPr="0045433D" w:rsidRDefault="00FE111C" w:rsidP="00294C01">
            <w:pPr>
              <w:spacing w:line="300" w:lineRule="atLeast"/>
              <w:jc w:val="both"/>
              <w:rPr>
                <w:rFonts w:ascii="Arial" w:eastAsia="Times New Roman" w:hAnsi="Arial" w:cs="Arial"/>
                <w:color w:val="222222"/>
                <w:sz w:val="18"/>
                <w:szCs w:val="18"/>
                <w:lang w:eastAsia="es-MX"/>
              </w:rPr>
            </w:pPr>
          </w:p>
        </w:tc>
        <w:tc>
          <w:tcPr>
            <w:tcW w:w="3685" w:type="dxa"/>
          </w:tcPr>
          <w:p w:rsidR="00FE111C" w:rsidRDefault="00FE111C" w:rsidP="00294C01">
            <w:pPr>
              <w:spacing w:line="300" w:lineRule="atLeast"/>
              <w:jc w:val="both"/>
              <w:rPr>
                <w:rFonts w:ascii="Arial" w:eastAsia="Times New Roman" w:hAnsi="Arial" w:cs="Arial"/>
                <w:color w:val="222222"/>
                <w:sz w:val="18"/>
                <w:szCs w:val="18"/>
                <w:lang w:eastAsia="es-MX"/>
              </w:rPr>
            </w:pPr>
            <w:r w:rsidRPr="00DD0292">
              <w:rPr>
                <w:rFonts w:ascii="Arial" w:eastAsia="Times New Roman" w:hAnsi="Arial" w:cs="Arial"/>
                <w:color w:val="222222"/>
                <w:sz w:val="18"/>
                <w:szCs w:val="18"/>
                <w:lang w:eastAsia="es-MX"/>
              </w:rPr>
              <w:t>Las EFS deben disponer de los recursos humanos, materiales y económicos necesarios y razonables; el Poder Ejecutivo no debe controlar ni supeditar el acceso a esos recursos. Las EFS administran su propio presupuesto y lo asignan de modo apropiado.</w:t>
            </w:r>
          </w:p>
        </w:tc>
        <w:tc>
          <w:tcPr>
            <w:tcW w:w="3402" w:type="dxa"/>
            <w:vMerge/>
          </w:tcPr>
          <w:p w:rsidR="00FE111C" w:rsidRDefault="00FE111C" w:rsidP="00294C01">
            <w:pPr>
              <w:spacing w:line="300" w:lineRule="atLeast"/>
              <w:jc w:val="both"/>
              <w:rPr>
                <w:rFonts w:ascii="Arial" w:eastAsia="Times New Roman" w:hAnsi="Arial" w:cs="Arial"/>
                <w:color w:val="222222"/>
                <w:sz w:val="18"/>
                <w:szCs w:val="18"/>
                <w:lang w:eastAsia="es-MX"/>
              </w:rPr>
            </w:pPr>
          </w:p>
        </w:tc>
      </w:tr>
    </w:tbl>
    <w:p w:rsidR="002D3B71" w:rsidRDefault="002D3B71" w:rsidP="006464AE">
      <w:pPr>
        <w:spacing w:after="0" w:line="300" w:lineRule="atLeast"/>
        <w:rPr>
          <w:rFonts w:ascii="Arial" w:eastAsia="Times New Roman" w:hAnsi="Arial" w:cs="Arial"/>
          <w:color w:val="222222"/>
          <w:sz w:val="18"/>
          <w:szCs w:val="18"/>
          <w:lang w:eastAsia="es-MX"/>
        </w:rPr>
      </w:pPr>
    </w:p>
    <w:p w:rsidR="00294C01" w:rsidRPr="006464AE" w:rsidRDefault="00294C01" w:rsidP="006464AE">
      <w:pPr>
        <w:spacing w:after="0" w:line="300" w:lineRule="atLeast"/>
        <w:rPr>
          <w:rFonts w:ascii="Arial" w:eastAsia="Times New Roman" w:hAnsi="Arial" w:cs="Arial"/>
          <w:color w:val="222222"/>
          <w:sz w:val="18"/>
          <w:szCs w:val="18"/>
          <w:lang w:eastAsia="es-MX"/>
        </w:rPr>
      </w:pPr>
    </w:p>
    <w:p w:rsidR="00DD0292" w:rsidRPr="00294C01" w:rsidRDefault="00294C01" w:rsidP="00525FB7">
      <w:pPr>
        <w:spacing w:line="300" w:lineRule="atLeast"/>
        <w:jc w:val="both"/>
        <w:rPr>
          <w:rFonts w:ascii="Arial" w:eastAsia="Times New Roman" w:hAnsi="Arial" w:cs="Arial"/>
          <w:b/>
          <w:color w:val="222222"/>
          <w:sz w:val="24"/>
          <w:szCs w:val="18"/>
          <w:lang w:eastAsia="es-MX"/>
        </w:rPr>
      </w:pPr>
      <w:r w:rsidRPr="00294C01">
        <w:rPr>
          <w:rFonts w:ascii="Arial" w:eastAsia="Times New Roman" w:hAnsi="Arial" w:cs="Arial"/>
          <w:b/>
          <w:color w:val="222222"/>
          <w:sz w:val="24"/>
          <w:szCs w:val="18"/>
          <w:lang w:eastAsia="es-MX"/>
        </w:rPr>
        <w:t>Conclusiones</w:t>
      </w:r>
    </w:p>
    <w:p w:rsidR="00294C01" w:rsidRDefault="00294C01" w:rsidP="00525FB7">
      <w:pPr>
        <w:spacing w:line="300" w:lineRule="atLeast"/>
        <w:jc w:val="both"/>
        <w:rPr>
          <w:rFonts w:ascii="Arial" w:eastAsia="Times New Roman" w:hAnsi="Arial" w:cs="Arial"/>
          <w:color w:val="222222"/>
          <w:szCs w:val="18"/>
          <w:lang w:eastAsia="es-MX"/>
        </w:rPr>
      </w:pPr>
      <w:r w:rsidRPr="00294C01">
        <w:rPr>
          <w:rFonts w:ascii="Arial" w:eastAsia="Times New Roman" w:hAnsi="Arial" w:cs="Arial"/>
          <w:color w:val="222222"/>
          <w:szCs w:val="18"/>
          <w:lang w:eastAsia="es-MX"/>
        </w:rPr>
        <w:t>Como inicio percibo un mayor contenido en la Declaración de Lima sobre las Líneas Básicas de la Fiscalización sobre el caso mexicano</w:t>
      </w:r>
      <w:r>
        <w:rPr>
          <w:rFonts w:ascii="Arial" w:eastAsia="Times New Roman" w:hAnsi="Arial" w:cs="Arial"/>
          <w:color w:val="222222"/>
          <w:szCs w:val="18"/>
          <w:lang w:eastAsia="es-MX"/>
        </w:rPr>
        <w:t>.</w:t>
      </w:r>
      <w:r w:rsidR="00525FB7">
        <w:rPr>
          <w:rFonts w:ascii="Arial" w:eastAsia="Times New Roman" w:hAnsi="Arial" w:cs="Arial"/>
          <w:color w:val="222222"/>
          <w:szCs w:val="18"/>
          <w:lang w:eastAsia="es-MX"/>
        </w:rPr>
        <w:t xml:space="preserve"> Sin embargo, es el artículo 79 de nuestra Constitución que realmente habla del combate a la corrupción mediante la rendición de cuentas, considero aún falta mucho por hacer, ya que deja las sanciones a procedimientos de la Fiscalía Especializada sin ser tajantes con las sanciones.</w:t>
      </w:r>
    </w:p>
    <w:p w:rsidR="00525FB7" w:rsidRPr="00294C01" w:rsidRDefault="00525FB7" w:rsidP="00525FB7">
      <w:pPr>
        <w:spacing w:line="300" w:lineRule="atLeast"/>
        <w:jc w:val="both"/>
        <w:rPr>
          <w:rFonts w:ascii="Arial" w:eastAsia="Times New Roman" w:hAnsi="Arial" w:cs="Arial"/>
          <w:color w:val="222222"/>
          <w:szCs w:val="18"/>
          <w:lang w:eastAsia="es-MX"/>
        </w:rPr>
      </w:pPr>
      <w:r>
        <w:rPr>
          <w:rFonts w:ascii="Arial" w:eastAsia="Times New Roman" w:hAnsi="Arial" w:cs="Arial"/>
          <w:color w:val="222222"/>
          <w:szCs w:val="18"/>
          <w:lang w:eastAsia="es-MX"/>
        </w:rPr>
        <w:t>La transparencia es vital para todo Gobierno que está comprometido con su ciudadanía, entre menos rendición de cuentas exista, mayor opacidad habrá dentro de la administración.</w:t>
      </w:r>
      <w:bookmarkStart w:id="0" w:name="_GoBack"/>
      <w:bookmarkEnd w:id="0"/>
    </w:p>
    <w:sectPr w:rsidR="00525FB7" w:rsidRPr="00294C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A494F"/>
    <w:multiLevelType w:val="hybridMultilevel"/>
    <w:tmpl w:val="297AB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AE"/>
    <w:rsid w:val="00154BA7"/>
    <w:rsid w:val="00195031"/>
    <w:rsid w:val="00294C01"/>
    <w:rsid w:val="002D3B71"/>
    <w:rsid w:val="0036407D"/>
    <w:rsid w:val="0045433D"/>
    <w:rsid w:val="00525FB7"/>
    <w:rsid w:val="006464AE"/>
    <w:rsid w:val="00DD0292"/>
    <w:rsid w:val="00E84AC2"/>
    <w:rsid w:val="00FA2E91"/>
    <w:rsid w:val="00FD551A"/>
    <w:rsid w:val="00FE11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24288-E387-429A-8D45-06C1C2DE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64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6464AE"/>
  </w:style>
  <w:style w:type="character" w:styleId="Textoennegrita">
    <w:name w:val="Strong"/>
    <w:basedOn w:val="Fuentedeprrafopredeter"/>
    <w:uiPriority w:val="22"/>
    <w:qFormat/>
    <w:rsid w:val="006464AE"/>
    <w:rPr>
      <w:b/>
      <w:bCs/>
    </w:rPr>
  </w:style>
  <w:style w:type="paragraph" w:styleId="Textosinformato">
    <w:name w:val="Plain Text"/>
    <w:basedOn w:val="Normal"/>
    <w:link w:val="TextosinformatoCar"/>
    <w:uiPriority w:val="99"/>
    <w:semiHidden/>
    <w:unhideWhenUsed/>
    <w:rsid w:val="001950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sinformatoCar">
    <w:name w:val="Texto sin formato Car"/>
    <w:basedOn w:val="Fuentedeprrafopredeter"/>
    <w:link w:val="Textosinformato"/>
    <w:uiPriority w:val="99"/>
    <w:semiHidden/>
    <w:rsid w:val="00195031"/>
    <w:rPr>
      <w:rFonts w:ascii="Times New Roman" w:eastAsia="Times New Roman" w:hAnsi="Times New Roman" w:cs="Times New Roman"/>
      <w:sz w:val="24"/>
      <w:szCs w:val="24"/>
      <w:lang w:eastAsia="es-MX"/>
    </w:rPr>
  </w:style>
  <w:style w:type="paragraph" w:customStyle="1" w:styleId="texto">
    <w:name w:val="texto"/>
    <w:basedOn w:val="Normal"/>
    <w:rsid w:val="00195031"/>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D3B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54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43557">
      <w:bodyDiv w:val="1"/>
      <w:marLeft w:val="0"/>
      <w:marRight w:val="0"/>
      <w:marTop w:val="0"/>
      <w:marBottom w:val="0"/>
      <w:divBdr>
        <w:top w:val="none" w:sz="0" w:space="0" w:color="auto"/>
        <w:left w:val="none" w:sz="0" w:space="0" w:color="auto"/>
        <w:bottom w:val="none" w:sz="0" w:space="0" w:color="auto"/>
        <w:right w:val="none" w:sz="0" w:space="0" w:color="auto"/>
      </w:divBdr>
    </w:div>
    <w:div w:id="617958020">
      <w:bodyDiv w:val="1"/>
      <w:marLeft w:val="0"/>
      <w:marRight w:val="0"/>
      <w:marTop w:val="0"/>
      <w:marBottom w:val="0"/>
      <w:divBdr>
        <w:top w:val="none" w:sz="0" w:space="0" w:color="auto"/>
        <w:left w:val="none" w:sz="0" w:space="0" w:color="auto"/>
        <w:bottom w:val="none" w:sz="0" w:space="0" w:color="auto"/>
        <w:right w:val="none" w:sz="0" w:space="0" w:color="auto"/>
      </w:divBdr>
      <w:divsChild>
        <w:div w:id="1341397162">
          <w:marLeft w:val="0"/>
          <w:marRight w:val="0"/>
          <w:marTop w:val="0"/>
          <w:marBottom w:val="0"/>
          <w:divBdr>
            <w:top w:val="none" w:sz="0" w:space="0" w:color="auto"/>
            <w:left w:val="none" w:sz="0" w:space="0" w:color="auto"/>
            <w:bottom w:val="dotted" w:sz="6" w:space="8" w:color="CCCCCC"/>
            <w:right w:val="none" w:sz="0" w:space="0" w:color="auto"/>
          </w:divBdr>
        </w:div>
        <w:div w:id="859658761">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4</Pages>
  <Words>1473</Words>
  <Characters>8103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6</cp:revision>
  <dcterms:created xsi:type="dcterms:W3CDTF">2016-06-23T23:16:00Z</dcterms:created>
  <dcterms:modified xsi:type="dcterms:W3CDTF">2016-06-27T04:34:00Z</dcterms:modified>
</cp:coreProperties>
</file>