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noProof/>
          <w:lang w:val="es-ES"/>
        </w:rPr>
      </w:pPr>
      <w:r w:rsidRPr="003672D5">
        <w:rPr>
          <w:rFonts w:ascii="Helvetica" w:hAnsi="Helvetica" w:cs="Helvetica"/>
          <w:noProof/>
          <w:sz w:val="44"/>
          <w:szCs w:val="44"/>
          <w:lang w:val="es-ES"/>
        </w:rPr>
        <w:drawing>
          <wp:anchor distT="0" distB="0" distL="114300" distR="114300" simplePos="0" relativeHeight="251659264" behindDoc="1" locked="0" layoutInCell="1" allowOverlap="1" wp14:anchorId="6A5751B3" wp14:editId="32E62422">
            <wp:simplePos x="0" y="0"/>
            <wp:positionH relativeFrom="column">
              <wp:posOffset>-375285</wp:posOffset>
            </wp:positionH>
            <wp:positionV relativeFrom="paragraph">
              <wp:posOffset>-785495</wp:posOffset>
            </wp:positionV>
            <wp:extent cx="2204085" cy="2204085"/>
            <wp:effectExtent l="0" t="0" r="5715" b="5715"/>
            <wp:wrapNone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BC9" w:rsidRDefault="00B25BC9" w:rsidP="00B25BC9">
      <w:pPr>
        <w:rPr>
          <w:noProof/>
          <w:lang w:val="es-ES"/>
        </w:rPr>
      </w:pPr>
    </w:p>
    <w:p w:rsidR="00B25BC9" w:rsidRDefault="00B25BC9" w:rsidP="00B25BC9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</w:p>
    <w:p w:rsidR="00B25BC9" w:rsidRPr="003672D5" w:rsidRDefault="00B25BC9" w:rsidP="00B25BC9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  <w:r w:rsidRPr="003672D5"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  <w:t>Maestría en Administración y Política Pública</w:t>
      </w:r>
    </w:p>
    <w:p w:rsidR="00B25BC9" w:rsidRPr="003672D5" w:rsidRDefault="00B25BC9" w:rsidP="00B25BC9">
      <w:pPr>
        <w:jc w:val="center"/>
        <w:rPr>
          <w:rFonts w:ascii="Verdana" w:hAnsi="Verdana" w:cs="Verdana"/>
          <w:b/>
          <w:i/>
          <w:color w:val="262626"/>
          <w:sz w:val="36"/>
          <w:szCs w:val="36"/>
          <w:lang w:val="es-ES"/>
        </w:rPr>
      </w:pPr>
      <w:r>
        <w:rPr>
          <w:rFonts w:ascii="Verdana" w:hAnsi="Verdana" w:cs="Verdana"/>
          <w:b/>
          <w:i/>
          <w:color w:val="262626"/>
          <w:sz w:val="36"/>
          <w:szCs w:val="36"/>
          <w:lang w:val="es-ES"/>
        </w:rPr>
        <w:t>Planeación Estratégica</w:t>
      </w:r>
    </w:p>
    <w:p w:rsidR="00B25BC9" w:rsidRPr="0079428B" w:rsidRDefault="00B25BC9" w:rsidP="00B25BC9">
      <w:pPr>
        <w:jc w:val="center"/>
        <w:rPr>
          <w:rFonts w:ascii="Verdana" w:hAnsi="Verdana" w:cs="Verdana"/>
          <w:color w:val="262626"/>
          <w:sz w:val="36"/>
          <w:szCs w:val="36"/>
          <w:lang w:val="es-ES"/>
        </w:rPr>
      </w:pPr>
    </w:p>
    <w:p w:rsidR="00B25BC9" w:rsidRDefault="00B25BC9" w:rsidP="00B25BC9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B25BC9" w:rsidRDefault="00B25BC9" w:rsidP="00B25BC9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B25BC9" w:rsidRDefault="00B25BC9" w:rsidP="00B25BC9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B25BC9" w:rsidRDefault="00B25BC9" w:rsidP="00B25BC9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B25BC9" w:rsidRDefault="00B25BC9" w:rsidP="00B25BC9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B25BC9" w:rsidRPr="0079428B" w:rsidRDefault="00B25BC9" w:rsidP="00B25BC9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262626"/>
          <w:sz w:val="32"/>
          <w:szCs w:val="32"/>
          <w:u w:val="single"/>
          <w:lang w:val="es-ES"/>
        </w:rPr>
        <w:t>Alumno</w:t>
      </w:r>
      <w:r w:rsidRPr="0079428B">
        <w:rPr>
          <w:rFonts w:ascii="Arial" w:hAnsi="Arial" w:cs="Arial"/>
          <w:b/>
          <w:color w:val="262626"/>
          <w:sz w:val="32"/>
          <w:szCs w:val="32"/>
          <w:u w:val="single"/>
          <w:lang w:val="es-ES"/>
        </w:rPr>
        <w:t>:</w:t>
      </w:r>
      <w:r w:rsidRPr="0079428B"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L.A.P. Jorge Alan Garcidueñas Villa</w:t>
      </w:r>
    </w:p>
    <w:p w:rsidR="00B25BC9" w:rsidRPr="0079428B" w:rsidRDefault="00B25BC9" w:rsidP="00B25BC9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B25BC9" w:rsidRDefault="00B25BC9" w:rsidP="00B25BC9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343434"/>
          <w:sz w:val="32"/>
          <w:szCs w:val="32"/>
          <w:u w:val="single"/>
          <w:lang w:val="es-ES"/>
        </w:rPr>
        <w:t>Tutor:</w:t>
      </w:r>
      <w:r>
        <w:rPr>
          <w:rFonts w:ascii="Arial" w:hAnsi="Arial" w:cs="Arial"/>
          <w:color w:val="343434"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color w:val="343434"/>
          <w:sz w:val="32"/>
          <w:szCs w:val="32"/>
          <w:lang w:val="es-ES"/>
        </w:rPr>
        <w:t>Dr. Antonio Pérez Gómez</w:t>
      </w:r>
    </w:p>
    <w:p w:rsidR="00B25BC9" w:rsidRDefault="00B25BC9" w:rsidP="00B25BC9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B25BC9" w:rsidRPr="00E46974" w:rsidRDefault="00B25BC9" w:rsidP="00B25BC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3672D5">
        <w:rPr>
          <w:rFonts w:ascii="Arial" w:hAnsi="Arial" w:cs="Arial"/>
          <w:color w:val="262626"/>
          <w:sz w:val="32"/>
          <w:szCs w:val="32"/>
          <w:u w:val="single"/>
          <w:lang w:val="es-ES"/>
        </w:rPr>
        <w:t>Actividad: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4 </w:t>
      </w:r>
      <w:r>
        <w:rPr>
          <w:rFonts w:ascii="Arial" w:hAnsi="Arial" w:cs="Arial"/>
          <w:b/>
          <w:bCs/>
          <w:color w:val="1A1A1A"/>
          <w:sz w:val="32"/>
          <w:szCs w:val="32"/>
          <w:lang w:val="es-ES"/>
        </w:rPr>
        <w:t>Lectura “Administración Estratégica”</w:t>
      </w:r>
    </w:p>
    <w:p w:rsidR="00B25BC9" w:rsidRPr="003672D5" w:rsidRDefault="00B25BC9" w:rsidP="00B25BC9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B25BC9" w:rsidRPr="003672D5" w:rsidRDefault="00B25BC9" w:rsidP="00B25BC9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:rsidR="00B25BC9" w:rsidRPr="003672D5" w:rsidRDefault="00B25BC9" w:rsidP="00B25BC9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  <w:r w:rsidRPr="000D610B">
        <w:rPr>
          <w:rFonts w:ascii="Arial" w:hAnsi="Arial" w:cs="Arial"/>
          <w:color w:val="262626"/>
          <w:sz w:val="32"/>
          <w:szCs w:val="32"/>
          <w:u w:val="single"/>
          <w:lang w:val="es-ES"/>
        </w:rPr>
        <w:t>Fecha: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16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de Abril de 2015     </w:t>
      </w:r>
      <w:r w:rsidRPr="003672D5">
        <w:rPr>
          <w:rFonts w:ascii="Arial" w:hAnsi="Arial" w:cs="Arial"/>
          <w:b/>
          <w:color w:val="262626"/>
          <w:sz w:val="32"/>
          <w:szCs w:val="32"/>
          <w:lang w:val="es-ES"/>
        </w:rPr>
        <w:t>1º Cuatrimestre</w:t>
      </w:r>
    </w:p>
    <w:p w:rsidR="00B25BC9" w:rsidRDefault="00B25BC9" w:rsidP="00B25BC9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B25BC9" w:rsidRDefault="00B25BC9" w:rsidP="00B25BC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B25BC9" w:rsidRDefault="00B25BC9" w:rsidP="00B25BC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B25BC9" w:rsidRDefault="00B25BC9" w:rsidP="00B25BC9">
      <w:pPr>
        <w:rPr>
          <w:noProof/>
          <w:lang w:val="es-ES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B25BC9" w:rsidRDefault="00B25BC9" w:rsidP="00B25BC9">
      <w:pPr>
        <w:rPr>
          <w:rFonts w:ascii="Arial" w:hAnsi="Arial" w:cs="Arial"/>
          <w:sz w:val="22"/>
          <w:szCs w:val="22"/>
        </w:rPr>
      </w:pPr>
    </w:p>
    <w:p w:rsidR="008905F6" w:rsidRPr="00E51473" w:rsidRDefault="008905F6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 xml:space="preserve">En el Diagnóstico Estratégico se alimentan de todas las reflexiones que se hacen en torno a las debilidades oportunidades, fortalezas  y amenazas que surgen dentro y fuera de la unidad </w:t>
      </w:r>
      <w:r w:rsidR="00E51473" w:rsidRPr="00E51473">
        <w:rPr>
          <w:rFonts w:ascii="Arial" w:hAnsi="Arial" w:cs="Arial"/>
          <w:color w:val="131440"/>
          <w:sz w:val="22"/>
          <w:szCs w:val="22"/>
          <w:lang w:val="es-ES"/>
        </w:rPr>
        <w:t xml:space="preserve">organización </w:t>
      </w:r>
      <w:r w:rsidRPr="00E51473">
        <w:rPr>
          <w:rFonts w:ascii="Arial" w:hAnsi="Arial" w:cs="Arial"/>
          <w:color w:val="131440"/>
          <w:sz w:val="22"/>
          <w:szCs w:val="22"/>
          <w:lang w:val="es-ES"/>
        </w:rPr>
        <w:t>. Lograr identificar estos factores y prepararse para enfrentar y minimizar los efectos negativos o utilizarlos para maximizar sus efectos, es la finalidad.</w:t>
      </w:r>
    </w:p>
    <w:p w:rsidR="008905F6" w:rsidRPr="00E51473" w:rsidRDefault="008905F6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8905F6" w:rsidRPr="00E51473" w:rsidRDefault="008905F6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El diagnóstico estratégico se divide en dos grandes diagnósticos: el diagnostico interno y  el diagnostico externo.</w:t>
      </w:r>
    </w:p>
    <w:p w:rsidR="008905F6" w:rsidRPr="00E51473" w:rsidRDefault="008905F6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8905F6" w:rsidRPr="00E51473" w:rsidRDefault="008905F6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El diagnostico interno o análisis interno se orienta a precisar las Fortalezas y Debilidades de los cinco recursos fundamentales de la empresa: humanos, financieros, tecnológicos, productivos y comerciales. Para lograr un análisis interno confiable se utiliza una herramienta llamada Perfil de Capacidad interna o matriz de PCI.</w:t>
      </w:r>
    </w:p>
    <w:p w:rsidR="008905F6" w:rsidRPr="00E51473" w:rsidRDefault="008905F6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626437" w:rsidRPr="00E51473" w:rsidRDefault="008905F6" w:rsidP="00E51473">
      <w:pPr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 xml:space="preserve">El perfil de capacidad </w:t>
      </w:r>
      <w:proofErr w:type="spellStart"/>
      <w:r w:rsidRPr="00E51473">
        <w:rPr>
          <w:rFonts w:ascii="Arial" w:hAnsi="Arial" w:cs="Arial"/>
          <w:color w:val="131440"/>
          <w:sz w:val="22"/>
          <w:szCs w:val="22"/>
          <w:lang w:val="es-ES"/>
        </w:rPr>
        <w:t>intena</w:t>
      </w:r>
      <w:proofErr w:type="spellEnd"/>
      <w:r w:rsidRPr="00E51473">
        <w:rPr>
          <w:rFonts w:ascii="Arial" w:hAnsi="Arial" w:cs="Arial"/>
          <w:color w:val="131440"/>
          <w:sz w:val="22"/>
          <w:szCs w:val="22"/>
          <w:lang w:val="es-ES"/>
        </w:rPr>
        <w:t xml:space="preserve"> es un medio para evaluar las fortalezas y debilidades presentadas en la parte interna de la unidad empresarial en relación con las oportunidades y amenazas que se presentan en el medio externo de la misma. </w:t>
      </w:r>
      <w:proofErr w:type="spellStart"/>
      <w:r w:rsidRPr="00E51473">
        <w:rPr>
          <w:rFonts w:ascii="Arial" w:hAnsi="Arial" w:cs="Arial"/>
          <w:color w:val="131440"/>
          <w:sz w:val="22"/>
          <w:szCs w:val="22"/>
          <w:lang w:val="es-ES"/>
        </w:rPr>
        <w:t>Asi</w:t>
      </w:r>
      <w:proofErr w:type="spellEnd"/>
      <w:r w:rsidRPr="00E51473">
        <w:rPr>
          <w:rFonts w:ascii="Arial" w:hAnsi="Arial" w:cs="Arial"/>
          <w:color w:val="131440"/>
          <w:sz w:val="22"/>
          <w:szCs w:val="22"/>
          <w:lang w:val="es-ES"/>
        </w:rPr>
        <w:t xml:space="preserve"> se puede hacer un diagnóstico </w:t>
      </w:r>
      <w:proofErr w:type="spellStart"/>
      <w:r w:rsidRPr="00E51473">
        <w:rPr>
          <w:rFonts w:ascii="Arial" w:hAnsi="Arial" w:cs="Arial"/>
          <w:color w:val="131440"/>
          <w:sz w:val="22"/>
          <w:szCs w:val="22"/>
          <w:lang w:val="es-ES"/>
        </w:rPr>
        <w:t>estrategico</w:t>
      </w:r>
      <w:proofErr w:type="spellEnd"/>
      <w:r w:rsidRPr="00E51473">
        <w:rPr>
          <w:rFonts w:ascii="Arial" w:hAnsi="Arial" w:cs="Arial"/>
          <w:color w:val="131440"/>
          <w:sz w:val="22"/>
          <w:szCs w:val="22"/>
          <w:lang w:val="es-ES"/>
        </w:rPr>
        <w:t xml:space="preserve"> involucrando todos las </w:t>
      </w:r>
      <w:proofErr w:type="spellStart"/>
      <w:r w:rsidRPr="00E51473">
        <w:rPr>
          <w:rFonts w:ascii="Arial" w:hAnsi="Arial" w:cs="Arial"/>
          <w:color w:val="131440"/>
          <w:sz w:val="22"/>
          <w:szCs w:val="22"/>
          <w:lang w:val="es-ES"/>
        </w:rPr>
        <w:t>categorias</w:t>
      </w:r>
      <w:proofErr w:type="spellEnd"/>
      <w:r w:rsidRPr="00E51473">
        <w:rPr>
          <w:rFonts w:ascii="Arial" w:hAnsi="Arial" w:cs="Arial"/>
          <w:color w:val="131440"/>
          <w:sz w:val="22"/>
          <w:szCs w:val="22"/>
          <w:lang w:val="es-ES"/>
        </w:rPr>
        <w:t xml:space="preserve"> de capacidad que contiene la empresa sobre la que influyen los factores de una forma u otra    </w:t>
      </w:r>
    </w:p>
    <w:p w:rsidR="008905F6" w:rsidRPr="00E51473" w:rsidRDefault="008905F6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8905F6" w:rsidRPr="00E51473" w:rsidRDefault="008905F6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e trata de calificar en que grado se encuentran las fortalezas y debilidades en cada uno de los recursos internos de la empresa dándole nivel de bajo medio o alto.</w:t>
      </w:r>
    </w:p>
    <w:p w:rsidR="008905F6" w:rsidRPr="00E51473" w:rsidRDefault="008905F6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8905F6" w:rsidRPr="00E51473" w:rsidRDefault="008905F6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Para lograrlo se inicia por:</w:t>
      </w:r>
    </w:p>
    <w:p w:rsidR="008905F6" w:rsidRPr="00E51473" w:rsidRDefault="008905F6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8905F6" w:rsidRPr="00E51473" w:rsidRDefault="008905F6" w:rsidP="00E51473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Elaborar un diagnóstico por cada área funcional en la estructura organizacional.</w:t>
      </w:r>
    </w:p>
    <w:p w:rsidR="008905F6" w:rsidRPr="00E51473" w:rsidRDefault="008905F6" w:rsidP="00E51473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Cuando la empresa es muy grande se puede hacer un diagnóstico por muestreo</w:t>
      </w:r>
    </w:p>
    <w:p w:rsidR="008905F6" w:rsidRPr="00E51473" w:rsidRDefault="008905F6" w:rsidP="00E51473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Cuando la empresa es pequeña se puede hacer participar a todos los integrantes del área o áreas a diagnosticar.</w:t>
      </w:r>
    </w:p>
    <w:p w:rsidR="008905F6" w:rsidRPr="00E51473" w:rsidRDefault="008905F6" w:rsidP="00E51473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Se puede utilizar método de entrevista o encuesta.</w:t>
      </w:r>
    </w:p>
    <w:p w:rsidR="009C2EF9" w:rsidRPr="00E51473" w:rsidRDefault="008905F6" w:rsidP="00E51473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Con la información recopilada elaborar la matriz de PCI</w:t>
      </w:r>
    </w:p>
    <w:p w:rsidR="009C2EF9" w:rsidRPr="00E51473" w:rsidRDefault="009C2EF9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9202D5" w:rsidRDefault="009202D5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9202D5" w:rsidRDefault="009202D5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9202D5" w:rsidRDefault="009202D5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9202D5" w:rsidRDefault="009202D5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9202D5" w:rsidRDefault="009202D5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9202D5" w:rsidRDefault="009202D5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8905F6" w:rsidRPr="00E51473" w:rsidRDefault="008905F6" w:rsidP="00E514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 xml:space="preserve">El cuadro siguiente cuadro muestra la matriz PCI de la capacidad </w:t>
      </w:r>
      <w:r w:rsidR="00286A63" w:rsidRPr="00E51473">
        <w:rPr>
          <w:rFonts w:ascii="Arial" w:hAnsi="Arial" w:cs="Arial"/>
          <w:color w:val="131440"/>
          <w:sz w:val="22"/>
          <w:szCs w:val="22"/>
          <w:lang w:val="es-ES"/>
        </w:rPr>
        <w:t>organizacional del ZooMAT</w:t>
      </w:r>
      <w:r w:rsidRPr="00E51473">
        <w:rPr>
          <w:rFonts w:ascii="Arial" w:hAnsi="Arial" w:cs="Arial"/>
          <w:color w:val="131440"/>
          <w:sz w:val="22"/>
          <w:szCs w:val="22"/>
          <w:lang w:val="es-ES"/>
        </w:rPr>
        <w:t>:</w:t>
      </w:r>
    </w:p>
    <w:p w:rsidR="008905F6" w:rsidRPr="00E51473" w:rsidRDefault="008905F6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tbl>
      <w:tblPr>
        <w:tblW w:w="946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09"/>
        <w:gridCol w:w="850"/>
        <w:gridCol w:w="709"/>
        <w:gridCol w:w="709"/>
        <w:gridCol w:w="850"/>
        <w:gridCol w:w="851"/>
        <w:gridCol w:w="709"/>
        <w:gridCol w:w="850"/>
        <w:gridCol w:w="709"/>
      </w:tblGrid>
      <w:tr w:rsidR="008905F6" w:rsidRPr="00E51473" w:rsidTr="008905F6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Matriz PCI de la capacidad Gerencial</w:t>
            </w: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 xml:space="preserve"> Factores</w:t>
            </w:r>
          </w:p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Capacidades</w:t>
            </w:r>
          </w:p>
        </w:tc>
        <w:tc>
          <w:tcPr>
            <w:tcW w:w="226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Fortalezas</w:t>
            </w:r>
          </w:p>
        </w:tc>
        <w:tc>
          <w:tcPr>
            <w:tcW w:w="24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Debilidades</w:t>
            </w:r>
          </w:p>
        </w:tc>
        <w:tc>
          <w:tcPr>
            <w:tcW w:w="226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Impacto</w:t>
            </w: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Alto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ind w:hanging="56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Medio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Bajo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Alto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Medio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Bajo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Alto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Medio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Bajo</w:t>
            </w: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Imagen corporativa</w:t>
            </w:r>
          </w:p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Responsabilidad social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Uso de planes estratégicos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Evaluación y pronóstico del</w:t>
            </w:r>
          </w:p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Medio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9C2EF9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9C2EF9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 xml:space="preserve">Velocidad de respuesta a </w:t>
            </w:r>
            <w:r w:rsidR="008905F6"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condiciones cambiantes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Flexibilidad de la estructura</w:t>
            </w:r>
          </w:p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Organizacional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Comunicación y control</w:t>
            </w:r>
          </w:p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Gerencial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9C2EF9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Orientación </w:t>
            </w:r>
          </w:p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empresarial</w:t>
            </w:r>
          </w:p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Habilidad para traer y retener personal creativo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Habilidad para responder a la</w:t>
            </w:r>
          </w:p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Tecnología cambiante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9C2EF9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Habilidad  para manejar la</w:t>
            </w:r>
          </w:p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Inflación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Sistemas de control</w:t>
            </w:r>
          </w:p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9C2EF9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Sistemas de tomas de</w:t>
            </w:r>
          </w:p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Decisiones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 xml:space="preserve">Sistemas de </w:t>
            </w:r>
            <w:proofErr w:type="spellStart"/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coordianción</w:t>
            </w:r>
            <w:proofErr w:type="spellEnd"/>
          </w:p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Evaluación de gestión</w:t>
            </w:r>
          </w:p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9C2EF9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</w:tbl>
    <w:p w:rsidR="008905F6" w:rsidRPr="00E51473" w:rsidRDefault="008905F6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8905F6" w:rsidRPr="00E51473" w:rsidRDefault="008905F6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9202D5" w:rsidRDefault="009202D5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9202D5" w:rsidRDefault="009202D5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9202D5" w:rsidRDefault="009202D5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9202D5" w:rsidRDefault="009202D5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9202D5" w:rsidRDefault="009202D5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9202D5" w:rsidRDefault="009202D5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9202D5" w:rsidRDefault="009202D5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9202D5" w:rsidRDefault="009202D5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8905F6" w:rsidRPr="00E51473" w:rsidRDefault="008905F6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 xml:space="preserve">El siguiente cuadro, </w:t>
      </w:r>
      <w:r w:rsidR="009C2EF9" w:rsidRPr="00E51473">
        <w:rPr>
          <w:rFonts w:ascii="Arial" w:hAnsi="Arial" w:cs="Arial"/>
          <w:color w:val="131440"/>
          <w:sz w:val="22"/>
          <w:szCs w:val="22"/>
          <w:lang w:val="es-ES"/>
        </w:rPr>
        <w:t xml:space="preserve">se </w:t>
      </w:r>
      <w:r w:rsidRPr="00E51473">
        <w:rPr>
          <w:rFonts w:ascii="Arial" w:hAnsi="Arial" w:cs="Arial"/>
          <w:color w:val="131440"/>
          <w:sz w:val="22"/>
          <w:szCs w:val="22"/>
          <w:lang w:val="es-ES"/>
        </w:rPr>
        <w:t>puede ubicar las categorías y variables a analizar.</w:t>
      </w:r>
    </w:p>
    <w:p w:rsidR="008905F6" w:rsidRPr="00E51473" w:rsidRDefault="008905F6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tbl>
      <w:tblPr>
        <w:tblW w:w="8897" w:type="dxa"/>
        <w:tblBorders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954"/>
      </w:tblGrid>
      <w:tr w:rsidR="008905F6" w:rsidRPr="00E51473" w:rsidTr="008905F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b/>
                <w:bCs/>
                <w:color w:val="131440"/>
                <w:sz w:val="22"/>
                <w:szCs w:val="22"/>
                <w:lang w:val="es-ES"/>
              </w:rPr>
              <w:t>POSIBLES CATEGORIAS DE ANALISIS</w:t>
            </w:r>
          </w:p>
        </w:tc>
        <w:tc>
          <w:tcPr>
            <w:tcW w:w="59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b/>
                <w:bCs/>
                <w:color w:val="131440"/>
                <w:sz w:val="22"/>
                <w:szCs w:val="22"/>
                <w:lang w:val="es-ES"/>
              </w:rPr>
              <w:t>VARIABLES</w:t>
            </w:r>
          </w:p>
        </w:tc>
      </w:tr>
      <w:tr w:rsidR="008905F6" w:rsidRPr="00E51473" w:rsidTr="008905F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Recursos humanos (algunos autores lo identifican como el Factor Humano de la organización)</w:t>
            </w:r>
          </w:p>
        </w:tc>
        <w:tc>
          <w:tcPr>
            <w:tcW w:w="59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Tipo, cantidad, formación profesional, competencia (entendida como el máximo nivel de especialidad requerido en la organización, institución o centro de trabajo), experiencia, grado de motivación/actitudes, nivel de satisfacción, sistema de remuneraciones y compensaciones (evaluación y valoración del desempeño), promoción, seguridad y estabilidad en el empleo, productividad, clima organizacional, nivel de conflicto, sistema de capacitación y desarrollo, comunicación, etc.</w:t>
            </w:r>
          </w:p>
        </w:tc>
      </w:tr>
      <w:tr w:rsidR="008905F6" w:rsidRPr="00E51473" w:rsidTr="008905F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Recursos físicos/materiales</w:t>
            </w:r>
          </w:p>
        </w:tc>
        <w:tc>
          <w:tcPr>
            <w:tcW w:w="59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Cantidad y calidad del espacio, cantidad y calidad del mobiliario, cantidad y calidad del equipo asignado, mantenimiento, seguridad, limpieza, etc.</w:t>
            </w:r>
          </w:p>
        </w:tc>
      </w:tr>
      <w:tr w:rsidR="008905F6" w:rsidRPr="00E51473" w:rsidTr="008905F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Recursos financieros/presupuestales</w:t>
            </w:r>
          </w:p>
        </w:tc>
        <w:tc>
          <w:tcPr>
            <w:tcW w:w="59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Sistema contable-presupuestal, flexibilidad en el manejo de recursos internos/externos, estructura de costos y gastos, distribución del ingreso, fuentes de financiamiento, etc.</w:t>
            </w:r>
          </w:p>
        </w:tc>
      </w:tr>
      <w:tr w:rsidR="008905F6" w:rsidRPr="00E51473" w:rsidTr="008905F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Recursos tecnológicos/técnicos</w:t>
            </w:r>
          </w:p>
        </w:tc>
        <w:tc>
          <w:tcPr>
            <w:tcW w:w="59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Los propios de la naturaleza de la organización. En el caso de una institución educativa pueden ser: tecnología educativa, material de apoyo y modalidades educativas.</w:t>
            </w:r>
          </w:p>
        </w:tc>
      </w:tr>
      <w:tr w:rsidR="008905F6" w:rsidRPr="00E51473" w:rsidTr="008905F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Proceso gerencial</w:t>
            </w:r>
          </w:p>
        </w:tc>
        <w:tc>
          <w:tcPr>
            <w:tcW w:w="59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Proceso de toma de decisiones, sistema de planeación, sistema de evaluación y control, sistema de información, grado de cumplimiento de metas, etc.</w:t>
            </w:r>
          </w:p>
        </w:tc>
      </w:tr>
      <w:tr w:rsidR="008905F6" w:rsidRPr="00E51473" w:rsidTr="008905F6">
        <w:tblPrEx>
          <w:tblBorders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 xml:space="preserve">Procesos sustantivos </w:t>
            </w:r>
          </w:p>
        </w:tc>
        <w:tc>
          <w:tcPr>
            <w:tcW w:w="595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Las variables también dependen de la naturaleza de la organización; para la misma institución educativa se refiere a: necesidad que satisface, reputación e imagen, accesibilidad, calidad, investigación y publicaciones, niveles académicos o modelo académico, satisfacción de los usuarios-cli</w:t>
            </w:r>
          </w:p>
        </w:tc>
      </w:tr>
    </w:tbl>
    <w:p w:rsidR="008905F6" w:rsidRPr="00E51473" w:rsidRDefault="008905F6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8905F6" w:rsidRPr="00E51473" w:rsidRDefault="008905F6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8905F6" w:rsidRPr="00E51473" w:rsidRDefault="008905F6" w:rsidP="009202D5">
      <w:pPr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 xml:space="preserve">El diagnóstico externo o análisis externo o auditoria externa se orienta a precisar las oportunidades y </w:t>
      </w:r>
      <w:proofErr w:type="spellStart"/>
      <w:r w:rsidRPr="00E51473">
        <w:rPr>
          <w:rFonts w:ascii="Arial" w:hAnsi="Arial" w:cs="Arial"/>
          <w:color w:val="131440"/>
          <w:sz w:val="22"/>
          <w:szCs w:val="22"/>
          <w:lang w:val="es-ES"/>
        </w:rPr>
        <w:t>amanazas</w:t>
      </w:r>
      <w:proofErr w:type="spellEnd"/>
      <w:r w:rsidRPr="00E51473">
        <w:rPr>
          <w:rFonts w:ascii="Arial" w:hAnsi="Arial" w:cs="Arial"/>
          <w:color w:val="131440"/>
          <w:sz w:val="22"/>
          <w:szCs w:val="22"/>
          <w:lang w:val="es-ES"/>
        </w:rPr>
        <w:t xml:space="preserve"> que afectan las capacidades o recursos fundamentales externos con las que se puede apoyar la  empresa para enfrentar competitivamente su medio. Esos </w:t>
      </w:r>
      <w:proofErr w:type="spellStart"/>
      <w:r w:rsidRPr="00E51473">
        <w:rPr>
          <w:rFonts w:ascii="Arial" w:hAnsi="Arial" w:cs="Arial"/>
          <w:color w:val="131440"/>
          <w:sz w:val="22"/>
          <w:szCs w:val="22"/>
          <w:lang w:val="es-ES"/>
        </w:rPr>
        <w:t>recuros</w:t>
      </w:r>
      <w:proofErr w:type="spellEnd"/>
      <w:r w:rsidRPr="00E51473">
        <w:rPr>
          <w:rFonts w:ascii="Arial" w:hAnsi="Arial" w:cs="Arial"/>
          <w:color w:val="131440"/>
          <w:sz w:val="22"/>
          <w:szCs w:val="22"/>
          <w:lang w:val="es-ES"/>
        </w:rPr>
        <w:t xml:space="preserve"> o capacidades pueden ser: Tecnológicos, económicos, geográficos, productivos y comerciales. Para lograr un análisis externo confiable se utiliza una herramienta llamada Perfil de las oportunidades y amenazas en el medio o matriz POAM.</w:t>
      </w:r>
    </w:p>
    <w:p w:rsidR="008905F6" w:rsidRPr="00E51473" w:rsidRDefault="008905F6" w:rsidP="009202D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286A63" w:rsidRPr="00E51473" w:rsidRDefault="008905F6" w:rsidP="009202D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La matriz POAM trata de calificar en que grado se encuentran las Oportunidades y amenazas en cada uno de los recursos externos de la empresa dándole nivel de bajo medio o alto. Y analizando como pude impactar en ella misma.</w:t>
      </w:r>
    </w:p>
    <w:p w:rsidR="008905F6" w:rsidRPr="00E51473" w:rsidRDefault="008905F6" w:rsidP="009202D5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  Elaborar un diagnóstico por cada recurso o capacidad que la empresa tiene en el medio externo.</w:t>
      </w:r>
    </w:p>
    <w:p w:rsidR="008905F6" w:rsidRPr="00E51473" w:rsidRDefault="008905F6" w:rsidP="009202D5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Cuando la empresa es muy grande se puede hacer un diagnóstico por muestreo</w:t>
      </w:r>
    </w:p>
    <w:p w:rsidR="008905F6" w:rsidRPr="00E51473" w:rsidRDefault="008905F6" w:rsidP="009202D5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Cuando la empresa es pequeña se puede hacer participar a todos los integrantes del área a diagnosticar.</w:t>
      </w:r>
    </w:p>
    <w:p w:rsidR="008905F6" w:rsidRPr="00E51473" w:rsidRDefault="008905F6" w:rsidP="009202D5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Se puede utilizar método de entrevista o encuesta.</w:t>
      </w:r>
    </w:p>
    <w:p w:rsidR="009202D5" w:rsidRPr="009202D5" w:rsidRDefault="008905F6" w:rsidP="009202D5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Con la información recopilada elaborar la matriz POAM</w:t>
      </w:r>
    </w:p>
    <w:p w:rsidR="009202D5" w:rsidRDefault="009202D5" w:rsidP="009202D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8905F6" w:rsidRPr="00E51473" w:rsidRDefault="008905F6" w:rsidP="009202D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El cuadro siguiente muestra la matriz POAM :</w:t>
      </w:r>
    </w:p>
    <w:p w:rsidR="008905F6" w:rsidRPr="00E51473" w:rsidRDefault="008905F6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tbl>
      <w:tblPr>
        <w:tblW w:w="847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709"/>
        <w:gridCol w:w="850"/>
        <w:gridCol w:w="709"/>
        <w:gridCol w:w="709"/>
        <w:gridCol w:w="850"/>
        <w:gridCol w:w="709"/>
        <w:gridCol w:w="709"/>
        <w:gridCol w:w="850"/>
        <w:gridCol w:w="851"/>
      </w:tblGrid>
      <w:tr w:rsidR="008905F6" w:rsidRPr="00E51473" w:rsidTr="008905F6">
        <w:tblPrEx>
          <w:tblCellMar>
            <w:top w:w="0" w:type="dxa"/>
            <w:bottom w:w="0" w:type="dxa"/>
          </w:tblCellMar>
        </w:tblPrEx>
        <w:tc>
          <w:tcPr>
            <w:tcW w:w="847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Matriz POAM</w:t>
            </w: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Factores</w:t>
            </w:r>
          </w:p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Capacidades</w:t>
            </w:r>
          </w:p>
        </w:tc>
        <w:tc>
          <w:tcPr>
            <w:tcW w:w="226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Oportunidades</w:t>
            </w:r>
          </w:p>
        </w:tc>
        <w:tc>
          <w:tcPr>
            <w:tcW w:w="226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Amenazas</w:t>
            </w:r>
          </w:p>
        </w:tc>
        <w:tc>
          <w:tcPr>
            <w:tcW w:w="24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Impacto</w:t>
            </w: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Alto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Medio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Bajo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Alto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Medio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Bajo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Alto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Medio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Bajo</w:t>
            </w: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286A6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Presupuesto Autorizado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286A6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286A6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Temporada de lluvia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286A6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Temporada de Incendios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286A6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E5147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Economía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E5147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E5147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E5147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Pandemias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E5147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E5147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E5147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Elecciones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E5147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Protección Animal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E5147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E5147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E5147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Protección Ambiental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E5147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E5147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E5147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Concesiones Comerciales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</w:tcPr>
          <w:p w:rsidR="008905F6" w:rsidRPr="00E51473" w:rsidRDefault="00E51473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Donativos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X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nil"/>
              <w:right w:w="8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</w:p>
        </w:tc>
      </w:tr>
    </w:tbl>
    <w:p w:rsidR="00286A63" w:rsidRPr="00E51473" w:rsidRDefault="00286A63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p w:rsidR="008905F6" w:rsidRPr="00E51473" w:rsidRDefault="00286A63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  <w:r w:rsidRPr="00E51473">
        <w:rPr>
          <w:rFonts w:ascii="Arial" w:hAnsi="Arial" w:cs="Arial"/>
          <w:color w:val="131440"/>
          <w:sz w:val="22"/>
          <w:szCs w:val="22"/>
          <w:lang w:val="es-ES"/>
        </w:rPr>
        <w:t>El siguiente cuadro, se puede ubicar las categorías y variables a analizar.</w:t>
      </w:r>
    </w:p>
    <w:p w:rsidR="008905F6" w:rsidRPr="00E51473" w:rsidRDefault="008905F6" w:rsidP="00E5147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31440"/>
          <w:sz w:val="22"/>
          <w:szCs w:val="22"/>
          <w:lang w:val="es-ES"/>
        </w:rPr>
      </w:pPr>
    </w:p>
    <w:tbl>
      <w:tblPr>
        <w:tblW w:w="8755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678"/>
      </w:tblGrid>
      <w:tr w:rsidR="008905F6" w:rsidRPr="00E51473" w:rsidTr="008905F6">
        <w:tblPrEx>
          <w:tblCellMar>
            <w:top w:w="0" w:type="dxa"/>
            <w:bottom w:w="0" w:type="dxa"/>
          </w:tblCellMar>
        </w:tblPrEx>
        <w:tc>
          <w:tcPr>
            <w:tcW w:w="8755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b/>
                <w:bCs/>
                <w:color w:val="131440"/>
                <w:sz w:val="22"/>
                <w:szCs w:val="22"/>
                <w:lang w:val="es-ES"/>
              </w:rPr>
              <w:t>CUADRO DE RECURSOS O CAPACIDADES PARA EL ANÁLISIS EXTERNO</w:t>
            </w: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b/>
                <w:bCs/>
                <w:color w:val="131440"/>
                <w:sz w:val="22"/>
                <w:szCs w:val="22"/>
                <w:lang w:val="es-ES"/>
              </w:rPr>
              <w:t>RECURSOS O CAPACIDADES OBJETO DE ANÁLISIS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b/>
                <w:bCs/>
                <w:color w:val="131440"/>
                <w:sz w:val="22"/>
                <w:szCs w:val="22"/>
                <w:lang w:val="es-ES"/>
              </w:rPr>
              <w:t>VARIABLES ANALIZABLES</w:t>
            </w: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Recurso económico-financiero: incluye todos los aspectos monetarios que afectan los procesos organizacionales.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Presupuesto institucional. Determinación de prioridades del gasto. Sueldos y salarios. Políticas de financiamiento, etc.</w:t>
            </w: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Capacidad político-legal: involucra las cuestiones de esta índole que inciden en la organización.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Estabilidad política. Disposiciones legales. Mecanismos de comunicación, etc.</w:t>
            </w: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Recurso tecnológico: componentes actuales inherentes a la organización.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9202D5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 xml:space="preserve">Cambio </w:t>
            </w:r>
            <w:r w:rsidR="008905F6"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tecnológico.</w:t>
            </w:r>
            <w:r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 xml:space="preserve"> Tecnología. </w:t>
            </w:r>
            <w:r w:rsidR="008905F6"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Computacional. Tecnología aplicada a los servicios que otorga la organización, etc.</w:t>
            </w:r>
          </w:p>
        </w:tc>
      </w:tr>
      <w:tr w:rsidR="008905F6" w:rsidRPr="00E51473" w:rsidTr="008905F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Proceso mercadológico: incluye el mecanismo para la venta y otorgamiento de servicios.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Servicios sustantivos que proporciona la organización. Clientes (tipo, cantidad). Usuarios. Oferta. Demanda. etc.</w:t>
            </w:r>
          </w:p>
        </w:tc>
      </w:tr>
      <w:tr w:rsidR="008905F6" w:rsidRPr="00E51473" w:rsidTr="008905F6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Proceso organizacional: incluye todas las condiciones que la organización establece y que la caracteriza para cumplir con su misión.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5F6" w:rsidRPr="00E51473" w:rsidRDefault="008905F6" w:rsidP="00E514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</w:pPr>
            <w:r w:rsidRPr="00E51473">
              <w:rPr>
                <w:rFonts w:ascii="Arial" w:hAnsi="Arial" w:cs="Arial"/>
                <w:color w:val="131440"/>
                <w:sz w:val="22"/>
                <w:szCs w:val="22"/>
                <w:lang w:val="es-ES"/>
              </w:rPr>
              <w:t>Estructura orgánica. Procesos de servicio. Liderazgo y toma de decisiones. Líneas de comunicación. Imagen interna y externa, etc.</w:t>
            </w:r>
          </w:p>
        </w:tc>
      </w:tr>
    </w:tbl>
    <w:p w:rsidR="008905F6" w:rsidRDefault="008905F6" w:rsidP="00E51473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1C3C86" w:rsidRPr="00E51473" w:rsidRDefault="001C3C86" w:rsidP="00B25BC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Respecto a la lectura me pareció confusa, tal vez por no tener la teoría bien aterrizada, sin embargo aborde otros contenidos, los cuales me permitieron complementar el tema </w:t>
      </w:r>
      <w:r w:rsidR="00B30ADC">
        <w:rPr>
          <w:rFonts w:ascii="Arial" w:hAnsi="Arial" w:cs="Arial"/>
          <w:sz w:val="22"/>
          <w:szCs w:val="22"/>
        </w:rPr>
        <w:t xml:space="preserve">y realizar un ejercicio practico, dentro del contexto de la planeación es importante tomar todos los factores que pueden inferir en el desempeño de la organización o empresa, actualmente trabajamos con indicadores y metas trazadas a partir de los diagnósticos de necesidad, social, política, ambiental y económica,  sin duda estas matrices </w:t>
      </w:r>
      <w:r w:rsidR="00B25BC9">
        <w:rPr>
          <w:rFonts w:ascii="Arial" w:hAnsi="Arial" w:cs="Arial"/>
          <w:sz w:val="22"/>
          <w:szCs w:val="22"/>
        </w:rPr>
        <w:t>nos ayudan a darles un valor a abstracciones y permiten generar componentes que nos dotan de la información necesaria para tomar las decisiones mejor orientadas a la necesidad y al contexto actual.</w:t>
      </w:r>
    </w:p>
    <w:sectPr w:rsidR="001C3C86" w:rsidRPr="00E51473" w:rsidSect="009C2EF9">
      <w:pgSz w:w="11900" w:h="16840"/>
      <w:pgMar w:top="1417" w:right="141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3C4E69"/>
    <w:multiLevelType w:val="hybridMultilevel"/>
    <w:tmpl w:val="B8844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467A2"/>
    <w:multiLevelType w:val="hybridMultilevel"/>
    <w:tmpl w:val="E196E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569F0"/>
    <w:multiLevelType w:val="hybridMultilevel"/>
    <w:tmpl w:val="BBB83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C589F"/>
    <w:multiLevelType w:val="hybridMultilevel"/>
    <w:tmpl w:val="2F3C88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F6"/>
    <w:rsid w:val="001C3C86"/>
    <w:rsid w:val="00286A63"/>
    <w:rsid w:val="00626437"/>
    <w:rsid w:val="008905F6"/>
    <w:rsid w:val="009202D5"/>
    <w:rsid w:val="009C2EF9"/>
    <w:rsid w:val="00B25BC9"/>
    <w:rsid w:val="00B30ADC"/>
    <w:rsid w:val="00E5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A14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B7C2D7-8A85-544E-BA53-03784788D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1274</Words>
  <Characters>7008</Characters>
  <Application>Microsoft Macintosh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Garciduenas</dc:creator>
  <cp:keywords/>
  <dc:description/>
  <cp:lastModifiedBy>Alan Garciduenas</cp:lastModifiedBy>
  <cp:revision>1</cp:revision>
  <dcterms:created xsi:type="dcterms:W3CDTF">2015-04-15T20:31:00Z</dcterms:created>
  <dcterms:modified xsi:type="dcterms:W3CDTF">2015-04-16T16:07:00Z</dcterms:modified>
</cp:coreProperties>
</file>