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F966B" w14:textId="77777777" w:rsidR="00652AC7" w:rsidRDefault="00652AC7" w:rsidP="00652AC7">
      <w:pPr>
        <w:rPr>
          <w:rFonts w:ascii="Arial" w:hAnsi="Arial" w:cs="Arial"/>
          <w:sz w:val="22"/>
          <w:szCs w:val="22"/>
        </w:rPr>
      </w:pPr>
    </w:p>
    <w:p w14:paraId="547A78C3" w14:textId="77777777" w:rsidR="00652AC7" w:rsidRDefault="00652AC7" w:rsidP="00652AC7">
      <w:pPr>
        <w:rPr>
          <w:noProof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7D8CDA39" wp14:editId="1F9CA95B">
            <wp:simplePos x="0" y="0"/>
            <wp:positionH relativeFrom="column">
              <wp:posOffset>-375285</wp:posOffset>
            </wp:positionH>
            <wp:positionV relativeFrom="paragraph">
              <wp:posOffset>-785495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7AE46" w14:textId="77777777" w:rsidR="00652AC7" w:rsidRDefault="00652AC7" w:rsidP="00652AC7">
      <w:pPr>
        <w:rPr>
          <w:noProof/>
          <w:lang w:val="es-ES"/>
        </w:rPr>
      </w:pPr>
    </w:p>
    <w:p w14:paraId="7F65A0AC" w14:textId="77777777" w:rsidR="00652AC7" w:rsidRDefault="00652AC7" w:rsidP="00652AC7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14:paraId="78D1E064" w14:textId="77777777" w:rsidR="00652AC7" w:rsidRPr="003672D5" w:rsidRDefault="00652AC7" w:rsidP="00652AC7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14:paraId="269A4A8D" w14:textId="77777777" w:rsidR="00652AC7" w:rsidRPr="003672D5" w:rsidRDefault="00652AC7" w:rsidP="00652AC7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Planeación Estratégica</w:t>
      </w:r>
    </w:p>
    <w:p w14:paraId="082ABE32" w14:textId="77777777" w:rsidR="00652AC7" w:rsidRPr="0079428B" w:rsidRDefault="00652AC7" w:rsidP="00652AC7">
      <w:pPr>
        <w:jc w:val="center"/>
        <w:rPr>
          <w:rFonts w:ascii="Verdana" w:hAnsi="Verdana" w:cs="Verdana"/>
          <w:color w:val="262626"/>
          <w:sz w:val="36"/>
          <w:szCs w:val="36"/>
          <w:lang w:val="es-ES"/>
        </w:rPr>
      </w:pPr>
    </w:p>
    <w:p w14:paraId="6ACF35C4" w14:textId="77777777" w:rsidR="00652AC7" w:rsidRDefault="00652AC7" w:rsidP="00652AC7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2A4E837C" w14:textId="77777777" w:rsidR="00652AC7" w:rsidRDefault="00652AC7" w:rsidP="00652AC7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2116F973" w14:textId="77777777" w:rsidR="00652AC7" w:rsidRDefault="00652AC7" w:rsidP="00652AC7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096C7C9C" w14:textId="77777777" w:rsidR="00652AC7" w:rsidRDefault="00652AC7" w:rsidP="00652AC7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21F51942" w14:textId="77777777" w:rsidR="00652AC7" w:rsidRDefault="00652AC7" w:rsidP="00652AC7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14:paraId="52D6AF60" w14:textId="77777777" w:rsidR="00652AC7" w:rsidRPr="0079428B" w:rsidRDefault="00652AC7" w:rsidP="00652AC7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14:paraId="1112CAC6" w14:textId="77777777" w:rsidR="00652AC7" w:rsidRPr="0079428B" w:rsidRDefault="00652AC7" w:rsidP="00652AC7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18F9B9B1" w14:textId="77777777" w:rsidR="00652AC7" w:rsidRDefault="00652AC7" w:rsidP="00652AC7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color w:val="343434"/>
          <w:sz w:val="32"/>
          <w:szCs w:val="32"/>
          <w:lang w:val="es-ES"/>
        </w:rPr>
        <w:t>Dr. Antonio Pérez Gómez</w:t>
      </w:r>
    </w:p>
    <w:p w14:paraId="3F5571C6" w14:textId="77777777" w:rsidR="00652AC7" w:rsidRDefault="00652AC7" w:rsidP="00652AC7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4BFA94CB" w14:textId="77777777" w:rsidR="00652AC7" w:rsidRPr="00E46974" w:rsidRDefault="00652AC7" w:rsidP="00652AC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5 </w:t>
      </w:r>
      <w:r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Lectura “Administración Estratégica”</w:t>
      </w:r>
    </w:p>
    <w:p w14:paraId="672AFDBF" w14:textId="77777777" w:rsidR="00652AC7" w:rsidRPr="003672D5" w:rsidRDefault="00652AC7" w:rsidP="00652AC7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77556598" w14:textId="77777777" w:rsidR="00652AC7" w:rsidRPr="003672D5" w:rsidRDefault="00652AC7" w:rsidP="00652AC7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14:paraId="222776ED" w14:textId="77777777" w:rsidR="00652AC7" w:rsidRPr="003672D5" w:rsidRDefault="00652AC7" w:rsidP="00652AC7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21 de Abril de 2015     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1º Cuatrimestre</w:t>
      </w:r>
    </w:p>
    <w:p w14:paraId="5F0A1B91" w14:textId="77777777" w:rsidR="00652AC7" w:rsidRDefault="00652AC7" w:rsidP="00652AC7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14:paraId="21D06FBB" w14:textId="77777777" w:rsidR="00652AC7" w:rsidRDefault="00652AC7" w:rsidP="00652AC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45B1B8B" w14:textId="77777777" w:rsidR="00652AC7" w:rsidRDefault="00652AC7" w:rsidP="00652AC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63C8FB1" w14:textId="77777777" w:rsidR="00652AC7" w:rsidRDefault="00652AC7" w:rsidP="00652AC7">
      <w:pPr>
        <w:rPr>
          <w:noProof/>
          <w:lang w:val="es-ES"/>
        </w:rPr>
      </w:pPr>
    </w:p>
    <w:p w14:paraId="1C615E3B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E68CA9C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5319FF4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BD25951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FB92DB4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E1B0B7D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947DA0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1A413FA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3E9F4825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7F9F83B0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58BE562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2EBB08E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6E0E3CC" w14:textId="77777777" w:rsidR="00652AC7" w:rsidRDefault="00652AC7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C8FC309" w14:textId="77777777" w:rsidR="002C72A1" w:rsidRDefault="002C72A1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239E40B" w14:textId="77777777" w:rsidR="00D36B5F" w:rsidRPr="002C72A1" w:rsidRDefault="00D36B5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2C72A1"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Fuerzas y Debilidades Internas </w:t>
      </w:r>
    </w:p>
    <w:p w14:paraId="11EE678B" w14:textId="77777777" w:rsidR="00D36B5F" w:rsidRPr="002C72A1" w:rsidRDefault="00D36B5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14:paraId="02070868" w14:textId="77777777" w:rsidR="00D36B5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2C72A1">
        <w:rPr>
          <w:rFonts w:ascii="Arial" w:hAnsi="Arial" w:cs="Arial"/>
          <w:b/>
          <w:sz w:val="22"/>
          <w:szCs w:val="22"/>
          <w:lang w:val="es-ES"/>
        </w:rPr>
        <w:t>Factores estratégicos</w:t>
      </w:r>
    </w:p>
    <w:p w14:paraId="62DA2724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En el capítulo anterior se establecieron los principales factores, tanto de acción directa como de</w:t>
      </w:r>
      <w:r w:rsidR="002C72A1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acción indirecta, que el medio ambiente presenta a la organización, ya sea como amenaza o como</w:t>
      </w:r>
      <w:r w:rsidR="002C72A1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oportunidad.</w:t>
      </w:r>
    </w:p>
    <w:p w14:paraId="661C741C" w14:textId="77777777" w:rsidR="00D36B5F" w:rsidRPr="002C72A1" w:rsidRDefault="00D36B5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6C9F3375" w14:textId="77777777" w:rsidR="00BD1899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Ahora se procederá a examinar los factores estratégicos en el seno de la misma organización y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que la administración deberá analizar y diagnosticar para determinar las fuerzas y debilidades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internas con las cuales pueda encarar oportunidades y amenazas del medio ambiente.</w:t>
      </w:r>
    </w:p>
    <w:p w14:paraId="3285EED0" w14:textId="77777777" w:rsidR="008D77C6" w:rsidRPr="002C72A1" w:rsidRDefault="008D77C6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57277D33" w14:textId="77777777" w:rsidR="00626437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Para poder analizar y diagnosticar a la organización es muy importante identificar claramente las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fuerzas y debilidades de la misma, tratando de ev</w:t>
      </w:r>
      <w:r w:rsidR="008D77C6" w:rsidRPr="002C72A1">
        <w:rPr>
          <w:rFonts w:ascii="Arial" w:hAnsi="Arial" w:cs="Arial"/>
          <w:sz w:val="22"/>
          <w:szCs w:val="22"/>
          <w:lang w:val="es-ES"/>
        </w:rPr>
        <w:t>itar todo tipo de subjetividad, p</w:t>
      </w:r>
      <w:r w:rsidRPr="002C72A1">
        <w:rPr>
          <w:rFonts w:ascii="Arial" w:hAnsi="Arial" w:cs="Arial"/>
          <w:sz w:val="22"/>
          <w:szCs w:val="22"/>
          <w:lang w:val="es-ES"/>
        </w:rPr>
        <w:t>ara esto, será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necesario contar con la información</w:t>
      </w:r>
      <w:r w:rsidR="008D77C6" w:rsidRPr="002C72A1">
        <w:rPr>
          <w:rFonts w:ascii="Arial" w:hAnsi="Arial" w:cs="Arial"/>
          <w:sz w:val="22"/>
          <w:szCs w:val="22"/>
          <w:lang w:val="es-ES"/>
        </w:rPr>
        <w:t xml:space="preserve"> lo más fidedigna que se pueda, s</w:t>
      </w:r>
      <w:r w:rsidRPr="002C72A1">
        <w:rPr>
          <w:rFonts w:ascii="Arial" w:hAnsi="Arial" w:cs="Arial"/>
          <w:sz w:val="22"/>
          <w:szCs w:val="22"/>
          <w:lang w:val="es-ES"/>
        </w:rPr>
        <w:t>i no se tiene, ya se descubre,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de entrada, una gran debilidad.</w:t>
      </w:r>
    </w:p>
    <w:p w14:paraId="20FAECFD" w14:textId="77777777" w:rsidR="00BD1899" w:rsidRPr="002C72A1" w:rsidRDefault="00BD1899" w:rsidP="00945E23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5562691F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En la discusión de los factores no se considerarán, en este capítulo, las herramientas y materiales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presentados en las diferentes disciplinas, tales como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Administración de Operaciones, </w:t>
      </w:r>
      <w:r w:rsidRPr="002C72A1">
        <w:rPr>
          <w:rFonts w:ascii="Arial" w:hAnsi="Arial" w:cs="Arial"/>
          <w:sz w:val="22"/>
          <w:szCs w:val="22"/>
          <w:lang w:val="es-ES"/>
        </w:rPr>
        <w:t>Administración Mercadotécnica, de Producción, de Personal, de Finanzas, etc. Éstos se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prese</w:t>
      </w:r>
      <w:r w:rsidR="008D77C6" w:rsidRPr="002C72A1">
        <w:rPr>
          <w:rFonts w:ascii="Arial" w:hAnsi="Arial" w:cs="Arial"/>
          <w:sz w:val="22"/>
          <w:szCs w:val="22"/>
          <w:lang w:val="es-ES"/>
        </w:rPr>
        <w:t>ntarán en apartados posteriores. e</w:t>
      </w:r>
      <w:r w:rsidRPr="002C72A1">
        <w:rPr>
          <w:rFonts w:ascii="Arial" w:hAnsi="Arial" w:cs="Arial"/>
          <w:sz w:val="22"/>
          <w:szCs w:val="22"/>
          <w:lang w:val="es-ES"/>
        </w:rPr>
        <w:t>n el presente se indicará la lista de los factores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generalmente más críticos, así como de ilustraciones concisas de posibles ventajas y desventajas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estratégicas.</w:t>
      </w:r>
    </w:p>
    <w:p w14:paraId="3B67A17B" w14:textId="77777777" w:rsidR="00BD1899" w:rsidRPr="002C72A1" w:rsidRDefault="00BD1899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1AAAFA6" w14:textId="77777777" w:rsidR="00BD1899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Los factores estratégicos a considerar:</w:t>
      </w:r>
    </w:p>
    <w:p w14:paraId="5C211D1D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• Factores de Personal y Relaciones Laborales.</w:t>
      </w:r>
    </w:p>
    <w:p w14:paraId="7D66C902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 xml:space="preserve"> • Factores de Producción y Administración de Operaciones.</w:t>
      </w:r>
    </w:p>
    <w:p w14:paraId="6B3A4C02" w14:textId="77777777" w:rsidR="00BD1899" w:rsidRPr="002C72A1" w:rsidRDefault="00BD1899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3682D35A" w14:textId="77777777" w:rsidR="00D36B5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2C72A1">
        <w:rPr>
          <w:rFonts w:ascii="Arial" w:hAnsi="Arial" w:cs="Arial"/>
          <w:b/>
          <w:sz w:val="22"/>
          <w:szCs w:val="22"/>
          <w:lang w:val="es-ES"/>
        </w:rPr>
        <w:t>Factores de personal y relaciones laborales</w:t>
      </w:r>
    </w:p>
    <w:p w14:paraId="53F2E974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La ventaja estratégica del personal es el resultado de las acciones del departamento de personal o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recursos humanos, y la cooperación de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los gerentes de línea.</w:t>
      </w:r>
    </w:p>
    <w:p w14:paraId="28F2E51A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Algunas organizaciones llaman la atención precisamente por su alta calidad, alta productividad y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por la lealtad de sus empleados en todos sus niveles.</w:t>
      </w:r>
    </w:p>
    <w:p w14:paraId="094BE7BF" w14:textId="77777777" w:rsidR="00D36B5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Otras organizaciones están en desventaja estratégica porque su personal está agremiado a</w:t>
      </w:r>
      <w:r w:rsidR="00BD1899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sindicatos con dificultades, o bien, con sindicatos sin problemas, pero por el simple hecho de tener</w:t>
      </w:r>
      <w:r w:rsidR="008D77C6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una organización de este tipo, puede perder flexibilidad debido a los altos costos de mano de obra.</w:t>
      </w:r>
    </w:p>
    <w:p w14:paraId="400640EF" w14:textId="77777777" w:rsidR="00D36B5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2C72A1">
        <w:rPr>
          <w:rFonts w:ascii="Arial" w:hAnsi="Arial" w:cs="Arial"/>
          <w:b/>
          <w:sz w:val="22"/>
          <w:szCs w:val="22"/>
          <w:lang w:val="es-ES"/>
        </w:rPr>
        <w:t>Factores de producción y administración de operaciones</w:t>
      </w:r>
    </w:p>
    <w:p w14:paraId="4AF5F3A7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Las claves de vent</w:t>
      </w:r>
      <w:r w:rsidR="003915B0" w:rsidRPr="002C72A1">
        <w:rPr>
          <w:rFonts w:ascii="Arial" w:hAnsi="Arial" w:cs="Arial"/>
          <w:sz w:val="22"/>
          <w:szCs w:val="22"/>
          <w:lang w:val="es-ES"/>
        </w:rPr>
        <w:t>aja estratégica en esta función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 son:</w:t>
      </w:r>
    </w:p>
    <w:p w14:paraId="58913DE9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¿Podemos producir a un costo menor que nuestros competidores?</w:t>
      </w:r>
    </w:p>
    <w:p w14:paraId="5700F13B" w14:textId="77777777" w:rsidR="008D77C6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¿Tenemos la capacidad de manejar los negocios en tiempos y lugares en donde la competencia no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puede?</w:t>
      </w:r>
    </w:p>
    <w:p w14:paraId="5A333940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¿Tenemos la habilidad de surtir productos cuando nuestros competidores no pueden conseguir el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 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material que nosotros sí pudimos obtener? </w:t>
      </w:r>
    </w:p>
    <w:p w14:paraId="7A283DC3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Si se responde afirmativamente a las tres preguntas, se tiene una ventaja competitiva estratégica</w:t>
      </w:r>
      <w:r w:rsidR="003915B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en los factores POM sobre la competencia.</w:t>
      </w:r>
    </w:p>
    <w:p w14:paraId="74D66928" w14:textId="77777777" w:rsidR="003915B0" w:rsidRPr="002C72A1" w:rsidRDefault="003915B0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608D2588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A nivel país, Japón es la nación que puede decir que tiene ventaja estratégica en sus factores de</w:t>
      </w:r>
      <w:r w:rsidR="003915B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producción y administración de operaciones sobre sus competidores, incluyendo a Estados Unidos.</w:t>
      </w:r>
    </w:p>
    <w:p w14:paraId="21E5B1F1" w14:textId="77777777" w:rsidR="003915B0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lista de factores POM a considerar en el análisis</w:t>
      </w:r>
    </w:p>
    <w:p w14:paraId="03E834BC" w14:textId="77777777" w:rsidR="00675E70" w:rsidRPr="002C72A1" w:rsidRDefault="00675E70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7E3BBD07" w14:textId="77777777" w:rsidR="005B716F" w:rsidRPr="002C72A1" w:rsidRDefault="005B716F" w:rsidP="00675E7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Menores costos totales de operación en relación con la competencia.</w:t>
      </w:r>
    </w:p>
    <w:p w14:paraId="54CFA03D" w14:textId="77777777" w:rsidR="005B716F" w:rsidRPr="002C72A1" w:rsidRDefault="005B716F" w:rsidP="00675E7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Efectivos procedimientos de diseño y control de calidad.</w:t>
      </w:r>
    </w:p>
    <w:p w14:paraId="3C43372D" w14:textId="77777777" w:rsidR="005B716F" w:rsidRPr="002C72A1" w:rsidRDefault="005B716F" w:rsidP="00675E7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Efectivas políticas de mantenimiento, tanto preventivo como correctivo.</w:t>
      </w:r>
    </w:p>
    <w:p w14:paraId="79A88C37" w14:textId="77777777" w:rsidR="005B716F" w:rsidRPr="002C72A1" w:rsidRDefault="005B716F" w:rsidP="00675E70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Factores de finanzas y contabilidad</w:t>
      </w:r>
    </w:p>
    <w:p w14:paraId="52181623" w14:textId="77777777" w:rsidR="003915B0" w:rsidRPr="002C72A1" w:rsidRDefault="003915B0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11615CF" w14:textId="77777777" w:rsidR="002C72A1" w:rsidRPr="002C72A1" w:rsidRDefault="005B716F" w:rsidP="002C72A1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El objetivo del análisis de estos factores es determinar si la organización en cuestión es más fuerte,</w:t>
      </w:r>
      <w:r w:rsid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financieramente, que sus competidores.</w:t>
      </w:r>
    </w:p>
    <w:p w14:paraId="474F588D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También se deberán observar los valores estratégicos para la empresa: la función de asesoría de</w:t>
      </w:r>
      <w:r w:rsidR="003915B0" w:rsidRPr="002C72A1">
        <w:rPr>
          <w:rFonts w:ascii="Arial" w:hAnsi="Arial" w:cs="Arial"/>
          <w:sz w:val="22"/>
          <w:szCs w:val="22"/>
          <w:lang w:val="es-ES"/>
        </w:rPr>
        <w:t xml:space="preserve"> l</w:t>
      </w:r>
      <w:r w:rsidRPr="002C72A1">
        <w:rPr>
          <w:rFonts w:ascii="Arial" w:hAnsi="Arial" w:cs="Arial"/>
          <w:sz w:val="22"/>
          <w:szCs w:val="22"/>
          <w:lang w:val="es-ES"/>
        </w:rPr>
        <w:t>a contabilidad, así como</w:t>
      </w:r>
      <w:r w:rsidR="003915B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Las políticas de ésta y aquellas que regulan la valuación de los inventarios, y la respuesta que dan</w:t>
      </w:r>
      <w:r w:rsidR="003915B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a la inflación y otros cambios externos.</w:t>
      </w:r>
    </w:p>
    <w:p w14:paraId="4A04F576" w14:textId="77777777" w:rsidR="003915B0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En resumen, una empresa en un tiempo determinado puede ser fuerte en términos</w:t>
      </w:r>
      <w:r w:rsidR="003915B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financieros, que le permita soportar el cambio estratégico.</w:t>
      </w:r>
    </w:p>
    <w:p w14:paraId="3B4985D0" w14:textId="77777777" w:rsidR="00675E70" w:rsidRPr="002C72A1" w:rsidRDefault="00675E70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E9F3D27" w14:textId="77777777" w:rsidR="003915B0" w:rsidRPr="002C72A1" w:rsidRDefault="00675E70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P</w:t>
      </w:r>
      <w:r w:rsidR="005B716F" w:rsidRPr="002C72A1">
        <w:rPr>
          <w:rFonts w:ascii="Arial" w:hAnsi="Arial" w:cs="Arial"/>
          <w:sz w:val="22"/>
          <w:szCs w:val="22"/>
          <w:lang w:val="es-ES"/>
        </w:rPr>
        <w:t>rincipales factores que se deben cuidar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="005B716F" w:rsidRPr="002C72A1">
        <w:rPr>
          <w:rFonts w:ascii="Arial" w:hAnsi="Arial" w:cs="Arial"/>
          <w:sz w:val="22"/>
          <w:szCs w:val="22"/>
          <w:lang w:val="es-ES"/>
        </w:rPr>
        <w:t>especialmente, en materia de finanzas y contabilidad:</w:t>
      </w:r>
    </w:p>
    <w:p w14:paraId="0DF9CAAD" w14:textId="77777777" w:rsidR="005B716F" w:rsidRPr="002C72A1" w:rsidRDefault="005B716F" w:rsidP="00675E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Menor costo de capital en relación con la competencia debido a una sana política de</w:t>
      </w:r>
    </w:p>
    <w:p w14:paraId="42E10997" w14:textId="77777777" w:rsidR="005B716F" w:rsidRPr="002C72A1" w:rsidRDefault="005B716F" w:rsidP="00675E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dividendos y precio de acciones.</w:t>
      </w:r>
    </w:p>
    <w:p w14:paraId="4E39CF47" w14:textId="77777777" w:rsidR="005B716F" w:rsidRPr="002C72A1" w:rsidRDefault="005B716F" w:rsidP="00675E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Efectiva estructura de capital, que sea lo suficiente flexible en la consecución de capital</w:t>
      </w:r>
    </w:p>
    <w:p w14:paraId="1AD1C670" w14:textId="77777777" w:rsidR="005B716F" w:rsidRPr="002C72A1" w:rsidRDefault="005B716F" w:rsidP="00675E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adicional necesario: saludable apalancamiento.</w:t>
      </w:r>
    </w:p>
    <w:p w14:paraId="7CB682E3" w14:textId="77777777" w:rsidR="005B716F" w:rsidRPr="002C72A1" w:rsidRDefault="005B716F" w:rsidP="00675E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Efectivos procedimientos de planeación financiera, así como presupuestos de capital</w:t>
      </w:r>
      <w:r w:rsid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de</w:t>
      </w:r>
      <w:r w:rsid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trabajo.</w:t>
      </w:r>
    </w:p>
    <w:p w14:paraId="00C83442" w14:textId="77777777" w:rsidR="005B716F" w:rsidRPr="002C72A1" w:rsidRDefault="005B716F" w:rsidP="00675E70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Efectivos sistemas contables para costear, presupu</w:t>
      </w:r>
      <w:r w:rsidR="002C72A1">
        <w:rPr>
          <w:rFonts w:ascii="Arial" w:hAnsi="Arial" w:cs="Arial"/>
          <w:sz w:val="22"/>
          <w:szCs w:val="22"/>
          <w:lang w:val="es-ES"/>
        </w:rPr>
        <w:t xml:space="preserve">estar y planear utilidades, así </w:t>
      </w:r>
      <w:r w:rsidRPr="002C72A1">
        <w:rPr>
          <w:rFonts w:ascii="Arial" w:hAnsi="Arial" w:cs="Arial"/>
          <w:sz w:val="22"/>
          <w:szCs w:val="22"/>
          <w:lang w:val="es-ES"/>
        </w:rPr>
        <w:t>como</w:t>
      </w:r>
      <w:r w:rsid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procedimientos de auditoría.</w:t>
      </w:r>
    </w:p>
    <w:p w14:paraId="1B8969C6" w14:textId="77777777" w:rsidR="005B716F" w:rsidRPr="002C72A1" w:rsidRDefault="005B716F" w:rsidP="00675E7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 xml:space="preserve">Políticas de valuación de inventarios. </w:t>
      </w:r>
    </w:p>
    <w:p w14:paraId="01AB8157" w14:textId="77777777" w:rsidR="00D36B5F" w:rsidRPr="002C72A1" w:rsidRDefault="00D36B5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14:paraId="2B8D8C42" w14:textId="77777777" w:rsidR="00D36B5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2C72A1">
        <w:rPr>
          <w:rFonts w:ascii="Arial" w:hAnsi="Arial" w:cs="Arial"/>
          <w:b/>
          <w:sz w:val="22"/>
          <w:szCs w:val="22"/>
          <w:lang w:val="es-ES"/>
        </w:rPr>
        <w:t>Factores de mercadotecnia</w:t>
      </w:r>
    </w:p>
    <w:p w14:paraId="704A9129" w14:textId="77777777" w:rsidR="005B716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En este inciso, el estratega debe observar si la empresa es sustancial y estratégicamente más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fuerte en mercadotecnia que la competencia.</w:t>
      </w:r>
    </w:p>
    <w:p w14:paraId="77AFCE89" w14:textId="77777777" w:rsidR="00675E70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Algunas empresas son fuertes en el mercado, y esto les da una ventaja estratégica en el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lanzamiento de nuevos productos o servicios, así como en la defensa e incremento de su actual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porción de mercado. </w:t>
      </w:r>
    </w:p>
    <w:p w14:paraId="2E9350F0" w14:textId="77777777" w:rsidR="008D77C6" w:rsidRPr="002C72A1" w:rsidRDefault="008D77C6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6494C1B4" w14:textId="77777777" w:rsidR="005B716F" w:rsidRPr="002C72A1" w:rsidRDefault="008D77C6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F</w:t>
      </w:r>
      <w:r w:rsidR="005B716F" w:rsidRPr="002C72A1">
        <w:rPr>
          <w:rFonts w:ascii="Arial" w:hAnsi="Arial" w:cs="Arial"/>
          <w:sz w:val="22"/>
          <w:szCs w:val="22"/>
          <w:lang w:val="es-ES"/>
        </w:rPr>
        <w:t>actores que deberán considerarse al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="005B716F" w:rsidRPr="002C72A1">
        <w:rPr>
          <w:rFonts w:ascii="Arial" w:hAnsi="Arial" w:cs="Arial"/>
          <w:sz w:val="22"/>
          <w:szCs w:val="22"/>
          <w:lang w:val="es-ES"/>
        </w:rPr>
        <w:t>realizar el análisis de mercadotecnia organizacional:</w:t>
      </w:r>
    </w:p>
    <w:p w14:paraId="39D81146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Grado de mercado que pertenece a la organización: qué tan extensa es el área en que la</w:t>
      </w:r>
      <w:r w:rsid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empresa es fuerte, dentro del mercado total o sobre los </w:t>
      </w:r>
      <w:proofErr w:type="spellStart"/>
      <w:r w:rsidRPr="002C72A1">
        <w:rPr>
          <w:rFonts w:ascii="Arial" w:hAnsi="Arial" w:cs="Arial"/>
          <w:sz w:val="22"/>
          <w:szCs w:val="22"/>
          <w:lang w:val="es-ES"/>
        </w:rPr>
        <w:t>submercados</w:t>
      </w:r>
      <w:proofErr w:type="spellEnd"/>
      <w:r w:rsidRPr="002C72A1">
        <w:rPr>
          <w:rFonts w:ascii="Arial" w:hAnsi="Arial" w:cs="Arial"/>
          <w:sz w:val="22"/>
          <w:szCs w:val="22"/>
          <w:lang w:val="es-ES"/>
        </w:rPr>
        <w:t xml:space="preserve"> clave.</w:t>
      </w:r>
    </w:p>
    <w:p w14:paraId="311B8013" w14:textId="77777777" w:rsidR="005B716F" w:rsidRPr="002C72A1" w:rsidRDefault="005B716F" w:rsidP="00675E7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Efectivo sistema de investigación de mercados.</w:t>
      </w:r>
    </w:p>
    <w:p w14:paraId="070D23FC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La mezcla de productos y/o servicios: calidad de los productos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y de los servicios. La calidad </w:t>
      </w:r>
      <w:r w:rsidRPr="002C72A1">
        <w:rPr>
          <w:rFonts w:ascii="Arial" w:hAnsi="Arial" w:cs="Arial"/>
          <w:sz w:val="22"/>
          <w:szCs w:val="22"/>
          <w:lang w:val="es-ES"/>
        </w:rPr>
        <w:t>es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un rango del producto y las condiciones de venta 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realizado por el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consumidor.</w:t>
      </w:r>
    </w:p>
    <w:p w14:paraId="1E2A2E2D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Algunas organizaciones tienen productos o servicios de diferentes niveles de calidad, y así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satisfacen a más sectores del mercado. Otras empresas se concentran en categorías únicas.</w:t>
      </w:r>
    </w:p>
    <w:p w14:paraId="533A2D98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Línea de productos o servicios: algunas empresas disponen de muchos productos o servicios;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otras, de muy pocos o muy especializados.</w:t>
      </w:r>
    </w:p>
    <w:p w14:paraId="79F3F15D" w14:textId="77777777" w:rsidR="00675E70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 xml:space="preserve">Liderazgo fuerte en un nuevo producto o servicio. </w:t>
      </w:r>
    </w:p>
    <w:p w14:paraId="1E7F7220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Algunas agencias de viajes ofrecen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transporte, no como mediadores sino como propietarios.</w:t>
      </w:r>
    </w:p>
    <w:p w14:paraId="1A49FA7D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Franq</w:t>
      </w:r>
      <w:r w:rsidR="00675E70" w:rsidRPr="002C72A1">
        <w:rPr>
          <w:rFonts w:ascii="Arial" w:hAnsi="Arial" w:cs="Arial"/>
          <w:sz w:val="22"/>
          <w:szCs w:val="22"/>
          <w:lang w:val="es-ES"/>
        </w:rPr>
        <w:t>uicias Y protección de patentes.</w:t>
      </w:r>
    </w:p>
    <w:p w14:paraId="231B3E1E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Lealtad del consumidor: sentimientos positivos hacia la empresa Y sus productos y servicios de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parte del último consumidor.</w:t>
      </w:r>
    </w:p>
    <w:p w14:paraId="672ABAEB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</w:t>
      </w:r>
      <w:r w:rsidR="00675E70" w:rsidRPr="002C72A1">
        <w:rPr>
          <w:rFonts w:ascii="Arial" w:hAnsi="Arial" w:cs="Arial"/>
          <w:sz w:val="22"/>
          <w:szCs w:val="22"/>
          <w:lang w:val="es-ES"/>
        </w:rPr>
        <w:t>ectivo empaque de los productos.</w:t>
      </w:r>
    </w:p>
    <w:p w14:paraId="6D51C826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Estrategia efectiva de precios para productos y/o servicios.</w:t>
      </w:r>
    </w:p>
    <w:p w14:paraId="75784087" w14:textId="77777777" w:rsidR="00675E70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 xml:space="preserve">Efectiva fuerza de ventas: unión estrecha con los consumidores clave. </w:t>
      </w:r>
    </w:p>
    <w:p w14:paraId="21507C72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Qué tan vulnerable es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la empresa en términos de concentración de las ventas en pocos clientes.</w:t>
      </w:r>
    </w:p>
    <w:p w14:paraId="27C2EF91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Publicidad efectiva: hasta qué punto la organización ha establecido una marca que desarrolle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la lealtad de los consumidores.</w:t>
      </w:r>
    </w:p>
    <w:p w14:paraId="7C6D5275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Efectivas actividades de promoción, aparte de la publicidad.</w:t>
      </w:r>
    </w:p>
    <w:p w14:paraId="090148F8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 xml:space="preserve">Servicio efectivo después de la compra. </w:t>
      </w:r>
    </w:p>
    <w:p w14:paraId="11590C51" w14:textId="77777777" w:rsidR="005B716F" w:rsidRPr="002C72A1" w:rsidRDefault="005B716F" w:rsidP="00675E70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Canales de distribución y cobertura geográfica efectivos, incluyendo esfuerzos</w:t>
      </w:r>
      <w:r w:rsidR="00675E70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internacionales. </w:t>
      </w:r>
    </w:p>
    <w:p w14:paraId="203A3813" w14:textId="77777777" w:rsidR="00675E70" w:rsidRPr="002C72A1" w:rsidRDefault="00675E70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14:paraId="7485F0AA" w14:textId="77777777" w:rsidR="00D36B5F" w:rsidRPr="002C72A1" w:rsidRDefault="005B716F" w:rsidP="00945E2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2C72A1">
        <w:rPr>
          <w:rFonts w:ascii="Arial" w:hAnsi="Arial" w:cs="Arial"/>
          <w:b/>
          <w:sz w:val="22"/>
          <w:szCs w:val="22"/>
          <w:lang w:val="es-ES"/>
        </w:rPr>
        <w:t>Factores organizacionales</w:t>
      </w:r>
    </w:p>
    <w:p w14:paraId="516E99B3" w14:textId="77777777" w:rsidR="00D36B5F" w:rsidRPr="002C72A1" w:rsidRDefault="005B716F" w:rsidP="00D36B5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Estos factores pueden aumentar la habilidad de la organización para lograr sus objetivos, mediante</w:t>
      </w:r>
      <w:r w:rsid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la variación de las estrategias; estos factores corresponden a las consecuencias de las ventajas</w:t>
      </w:r>
      <w:r w:rsidR="00D36B5F" w:rsidRP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 xml:space="preserve">estratégicas de los demás factores. </w:t>
      </w:r>
    </w:p>
    <w:p w14:paraId="1B0B5041" w14:textId="77777777" w:rsidR="005B716F" w:rsidRPr="002C72A1" w:rsidRDefault="005B716F" w:rsidP="00D36B5F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Imagen y prestigio de la organización.</w:t>
      </w:r>
    </w:p>
    <w:p w14:paraId="1C129A7E" w14:textId="77777777" w:rsidR="005B716F" w:rsidRPr="002C72A1" w:rsidRDefault="005B716F" w:rsidP="00D36B5F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Estructura y clima organizacionales efectivos.</w:t>
      </w:r>
    </w:p>
    <w:p w14:paraId="10BD9530" w14:textId="77777777" w:rsidR="005B716F" w:rsidRPr="002C72A1" w:rsidRDefault="005B716F" w:rsidP="00D36B5F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Tamaño de la empresa en comparación al mercado de oferentes.</w:t>
      </w:r>
    </w:p>
    <w:p w14:paraId="54111BDE" w14:textId="77777777" w:rsidR="005B716F" w:rsidRPr="002C72A1" w:rsidRDefault="005B716F" w:rsidP="00D36B5F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Registro de la empresa de los logros de sus objetivos: ¿Qué tan consistente ha sido? En</w:t>
      </w:r>
      <w:r w:rsidR="002C72A1">
        <w:rPr>
          <w:rFonts w:ascii="Arial" w:hAnsi="Arial" w:cs="Arial"/>
          <w:sz w:val="22"/>
          <w:szCs w:val="22"/>
          <w:lang w:val="es-ES"/>
        </w:rPr>
        <w:t xml:space="preserve"> </w:t>
      </w:r>
      <w:r w:rsidRPr="002C72A1">
        <w:rPr>
          <w:rFonts w:ascii="Arial" w:hAnsi="Arial" w:cs="Arial"/>
          <w:sz w:val="22"/>
          <w:szCs w:val="22"/>
          <w:lang w:val="es-ES"/>
        </w:rPr>
        <w:t>comparación con los competidores, ¿se han logrado mejor?</w:t>
      </w:r>
    </w:p>
    <w:p w14:paraId="2F66EDCA" w14:textId="77777777" w:rsidR="005B716F" w:rsidRPr="002C72A1" w:rsidRDefault="005B716F" w:rsidP="00D36B5F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Influencia con corporaciones reguladoras y gubernamentales.</w:t>
      </w:r>
    </w:p>
    <w:p w14:paraId="1ABD2591" w14:textId="77777777" w:rsidR="005B716F" w:rsidRPr="002C72A1" w:rsidRDefault="005B716F" w:rsidP="00D36B5F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2C72A1">
        <w:rPr>
          <w:rFonts w:ascii="Arial" w:hAnsi="Arial" w:cs="Arial"/>
          <w:sz w:val="22"/>
          <w:szCs w:val="22"/>
          <w:lang w:val="es-ES"/>
        </w:rPr>
        <w:t>Sistemas efectivos de información y cómputo, así como de comunicación.</w:t>
      </w:r>
    </w:p>
    <w:p w14:paraId="6556F494" w14:textId="77777777" w:rsidR="005B716F" w:rsidRPr="002C72A1" w:rsidRDefault="005B716F" w:rsidP="00945E23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4B1575C" w14:textId="5D94F96B" w:rsidR="005B2939" w:rsidRPr="005B2939" w:rsidRDefault="005B2939" w:rsidP="005B2939">
      <w:pPr>
        <w:spacing w:after="120" w:line="360" w:lineRule="auto"/>
        <w:jc w:val="highKashida"/>
        <w:rPr>
          <w:rFonts w:ascii="Arial" w:eastAsia="Times New Roman" w:hAnsi="Arial"/>
          <w:sz w:val="22"/>
          <w:szCs w:val="22"/>
        </w:rPr>
      </w:pPr>
      <w:r w:rsidRPr="005B2939">
        <w:rPr>
          <w:rFonts w:ascii="Arial" w:hAnsi="Arial" w:cs="Arial"/>
          <w:sz w:val="22"/>
          <w:szCs w:val="22"/>
        </w:rPr>
        <w:t>Definitivamente</w:t>
      </w:r>
      <w:r>
        <w:rPr>
          <w:rFonts w:ascii="Arial" w:hAnsi="Arial" w:cs="Arial"/>
        </w:rPr>
        <w:t xml:space="preserve"> la </w:t>
      </w:r>
      <w:r w:rsidRPr="005B2939">
        <w:rPr>
          <w:rFonts w:ascii="Arial" w:eastAsia="Times New Roman" w:hAnsi="Arial"/>
          <w:sz w:val="22"/>
          <w:szCs w:val="22"/>
        </w:rPr>
        <w:t xml:space="preserve">planeación estratégica para el INEA, </w:t>
      </w:r>
      <w:r>
        <w:rPr>
          <w:rFonts w:ascii="Arial" w:eastAsia="Times New Roman" w:hAnsi="Arial"/>
          <w:sz w:val="22"/>
          <w:szCs w:val="22"/>
        </w:rPr>
        <w:t>representa</w:t>
      </w:r>
      <w:r w:rsidRPr="005B2939">
        <w:rPr>
          <w:rFonts w:ascii="Arial" w:eastAsia="Times New Roman" w:hAnsi="Arial"/>
          <w:sz w:val="22"/>
          <w:szCs w:val="22"/>
        </w:rPr>
        <w:t xml:space="preserve"> una ventaja estratégica en su accionar, </w:t>
      </w:r>
      <w:r>
        <w:rPr>
          <w:rFonts w:ascii="Arial" w:eastAsia="Times New Roman" w:hAnsi="Arial"/>
          <w:sz w:val="22"/>
          <w:szCs w:val="22"/>
        </w:rPr>
        <w:t xml:space="preserve">que </w:t>
      </w:r>
      <w:r w:rsidRPr="005B2939">
        <w:rPr>
          <w:rFonts w:ascii="Arial" w:eastAsia="Times New Roman" w:hAnsi="Arial"/>
          <w:sz w:val="22"/>
          <w:szCs w:val="22"/>
        </w:rPr>
        <w:t>permiti</w:t>
      </w:r>
      <w:r>
        <w:rPr>
          <w:rFonts w:ascii="Arial" w:eastAsia="Times New Roman" w:hAnsi="Arial"/>
          <w:sz w:val="22"/>
          <w:szCs w:val="22"/>
        </w:rPr>
        <w:t>rá</w:t>
      </w:r>
      <w:bookmarkStart w:id="0" w:name="_GoBack"/>
      <w:bookmarkEnd w:id="0"/>
      <w:r w:rsidRPr="005B2939">
        <w:rPr>
          <w:rFonts w:ascii="Arial" w:eastAsia="Times New Roman" w:hAnsi="Arial"/>
          <w:sz w:val="22"/>
          <w:szCs w:val="22"/>
        </w:rPr>
        <w:t xml:space="preserve"> tomar las mejores </w:t>
      </w:r>
      <w:r w:rsidRPr="005B2939">
        <w:rPr>
          <w:rFonts w:ascii="Arial" w:eastAsia="Times New Roman" w:hAnsi="Arial"/>
          <w:sz w:val="22"/>
          <w:szCs w:val="22"/>
        </w:rPr>
        <w:t>decisiones</w:t>
      </w:r>
      <w:r w:rsidRPr="005B2939">
        <w:rPr>
          <w:rFonts w:ascii="Arial" w:eastAsia="Times New Roman" w:hAnsi="Arial"/>
          <w:sz w:val="22"/>
          <w:szCs w:val="22"/>
        </w:rPr>
        <w:t xml:space="preserve"> y tácticas, que lo ayudaran a mejorar sus resultados y a acabar con el rezago educativo en el estado.</w:t>
      </w:r>
    </w:p>
    <w:p w14:paraId="53F1C7DA" w14:textId="29C84FFD" w:rsidR="005B716F" w:rsidRPr="00675E70" w:rsidRDefault="005B716F" w:rsidP="00945E23">
      <w:pPr>
        <w:spacing w:line="360" w:lineRule="auto"/>
        <w:jc w:val="both"/>
        <w:rPr>
          <w:rFonts w:ascii="Arial" w:hAnsi="Arial" w:cs="Arial"/>
        </w:rPr>
      </w:pPr>
    </w:p>
    <w:sectPr w:rsidR="005B716F" w:rsidRPr="00675E70" w:rsidSect="00945E23">
      <w:pgSz w:w="11900" w:h="16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6D03"/>
    <w:multiLevelType w:val="hybridMultilevel"/>
    <w:tmpl w:val="A60EDE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90C9A"/>
    <w:multiLevelType w:val="hybridMultilevel"/>
    <w:tmpl w:val="61AEC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F12653"/>
    <w:multiLevelType w:val="hybridMultilevel"/>
    <w:tmpl w:val="FFC28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75003"/>
    <w:multiLevelType w:val="hybridMultilevel"/>
    <w:tmpl w:val="7F30D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6F"/>
    <w:rsid w:val="002C72A1"/>
    <w:rsid w:val="003915B0"/>
    <w:rsid w:val="005B2939"/>
    <w:rsid w:val="005B716F"/>
    <w:rsid w:val="00626437"/>
    <w:rsid w:val="00652AC7"/>
    <w:rsid w:val="00675E70"/>
    <w:rsid w:val="008D77C6"/>
    <w:rsid w:val="00945E23"/>
    <w:rsid w:val="00BD1899"/>
    <w:rsid w:val="00D3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FA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1164</Words>
  <Characters>6403</Characters>
  <Application>Microsoft Macintosh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3</cp:revision>
  <dcterms:created xsi:type="dcterms:W3CDTF">2015-04-21T19:07:00Z</dcterms:created>
  <dcterms:modified xsi:type="dcterms:W3CDTF">2015-04-24T19:47:00Z</dcterms:modified>
</cp:coreProperties>
</file>