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DIEGO ALBERTO MANCILLA RAMÍREZ</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E31C48" w:rsidP="00576E7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Diagnóstico Estratégico</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E31C48" w:rsidP="00576E74">
      <w:pPr>
        <w:pStyle w:val="NormalWeb"/>
        <w:shd w:val="clear" w:color="auto" w:fill="FFFFFF"/>
        <w:spacing w:before="0" w:beforeAutospacing="0" w:after="0" w:afterAutospacing="0" w:line="360" w:lineRule="auto"/>
        <w:jc w:val="right"/>
        <w:rPr>
          <w:rFonts w:ascii="Arial" w:hAnsi="Arial" w:cs="Arial"/>
          <w:b/>
          <w:color w:val="222222"/>
          <w:sz w:val="22"/>
          <w:szCs w:val="22"/>
        </w:rPr>
      </w:pPr>
      <w:r>
        <w:rPr>
          <w:rFonts w:ascii="Arial" w:hAnsi="Arial" w:cs="Arial"/>
          <w:b/>
          <w:color w:val="222222"/>
          <w:sz w:val="22"/>
          <w:szCs w:val="22"/>
        </w:rPr>
        <w:t>24</w:t>
      </w:r>
      <w:r w:rsidR="00576E74">
        <w:rPr>
          <w:rFonts w:ascii="Arial" w:hAnsi="Arial" w:cs="Arial"/>
          <w:b/>
          <w:color w:val="222222"/>
          <w:sz w:val="22"/>
          <w:szCs w:val="22"/>
        </w:rPr>
        <w:t xml:space="preserve"> de Abril, 2015. </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F30403"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Nota: Se disminuyó el tamaño de letra para que entraran en la página.</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CC53C4" w:rsidRDefault="00CC53C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tbl>
      <w:tblPr>
        <w:tblpPr w:leftFromText="141" w:rightFromText="141" w:vertAnchor="text" w:horzAnchor="margin" w:tblpY="584"/>
        <w:tblW w:w="9568" w:type="dxa"/>
        <w:tblLayout w:type="fixed"/>
        <w:tblCellMar>
          <w:left w:w="70" w:type="dxa"/>
          <w:right w:w="70" w:type="dxa"/>
        </w:tblCellMar>
        <w:tblLook w:val="04A0"/>
      </w:tblPr>
      <w:tblGrid>
        <w:gridCol w:w="6307"/>
        <w:gridCol w:w="426"/>
        <w:gridCol w:w="425"/>
        <w:gridCol w:w="425"/>
        <w:gridCol w:w="425"/>
        <w:gridCol w:w="431"/>
        <w:gridCol w:w="225"/>
        <w:gridCol w:w="337"/>
        <w:gridCol w:w="283"/>
        <w:gridCol w:w="284"/>
      </w:tblGrid>
      <w:tr w:rsidR="00C46F63" w:rsidRPr="00C46F63" w:rsidTr="002A5474">
        <w:trPr>
          <w:trHeight w:val="300"/>
        </w:trPr>
        <w:tc>
          <w:tcPr>
            <w:tcW w:w="6307" w:type="dxa"/>
            <w:vMerge w:val="restar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lastRenderedPageBreak/>
              <w:t>Calificación</w:t>
            </w:r>
          </w:p>
        </w:tc>
        <w:tc>
          <w:tcPr>
            <w:tcW w:w="1276"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Grado</w:t>
            </w:r>
          </w:p>
        </w:tc>
        <w:tc>
          <w:tcPr>
            <w:tcW w:w="1081"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Grado</w:t>
            </w:r>
          </w:p>
        </w:tc>
        <w:tc>
          <w:tcPr>
            <w:tcW w:w="904" w:type="dxa"/>
            <w:gridSpan w:val="3"/>
            <w:vMerge w:val="restart"/>
            <w:tcBorders>
              <w:top w:val="single" w:sz="4" w:space="0" w:color="auto"/>
              <w:left w:val="single" w:sz="4" w:space="0" w:color="auto"/>
              <w:bottom w:val="single" w:sz="4" w:space="0" w:color="000000"/>
              <w:right w:val="single" w:sz="4" w:space="0" w:color="000000"/>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Impacto</w:t>
            </w:r>
          </w:p>
        </w:tc>
      </w:tr>
      <w:tr w:rsidR="00C46F63" w:rsidRPr="00C46F63" w:rsidTr="002A5474">
        <w:trPr>
          <w:trHeight w:val="300"/>
        </w:trPr>
        <w:tc>
          <w:tcPr>
            <w:tcW w:w="6307" w:type="dxa"/>
            <w:vMerge/>
            <w:tcBorders>
              <w:top w:val="single" w:sz="4" w:space="0" w:color="auto"/>
              <w:left w:val="single" w:sz="4" w:space="0" w:color="auto"/>
              <w:bottom w:val="single" w:sz="4" w:space="0" w:color="auto"/>
              <w:right w:val="single" w:sz="4" w:space="0" w:color="auto"/>
            </w:tcBorders>
            <w:vAlign w:val="center"/>
            <w:hideMark/>
          </w:tcPr>
          <w:p w:rsidR="00C46F63" w:rsidRPr="00C46F63" w:rsidRDefault="00C46F63" w:rsidP="002A5474">
            <w:pPr>
              <w:spacing w:after="0" w:line="240" w:lineRule="auto"/>
              <w:rPr>
                <w:rFonts w:ascii="Calibri" w:eastAsia="Times New Roman" w:hAnsi="Calibri" w:cs="Times New Roman"/>
                <w:b/>
                <w:bCs/>
                <w:color w:val="000000"/>
                <w:lang w:eastAsia="es-ES"/>
              </w:rPr>
            </w:pPr>
          </w:p>
        </w:tc>
        <w:tc>
          <w:tcPr>
            <w:tcW w:w="1276"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Amenazas</w:t>
            </w:r>
          </w:p>
        </w:tc>
        <w:tc>
          <w:tcPr>
            <w:tcW w:w="1081"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Oportunidades</w:t>
            </w:r>
          </w:p>
        </w:tc>
        <w:tc>
          <w:tcPr>
            <w:tcW w:w="904" w:type="dxa"/>
            <w:gridSpan w:val="3"/>
            <w:vMerge/>
            <w:tcBorders>
              <w:top w:val="single" w:sz="4" w:space="0" w:color="auto"/>
              <w:left w:val="single" w:sz="4" w:space="0" w:color="auto"/>
              <w:bottom w:val="single" w:sz="4" w:space="0" w:color="000000"/>
              <w:right w:val="single" w:sz="4" w:space="0" w:color="000000"/>
            </w:tcBorders>
            <w:vAlign w:val="center"/>
            <w:hideMark/>
          </w:tcPr>
          <w:p w:rsidR="00C46F63" w:rsidRPr="00C46F63" w:rsidRDefault="00C46F63" w:rsidP="002A5474">
            <w:pPr>
              <w:spacing w:after="0" w:line="240" w:lineRule="auto"/>
              <w:rPr>
                <w:rFonts w:ascii="Calibri" w:eastAsia="Times New Roman" w:hAnsi="Calibri" w:cs="Times New Roman"/>
                <w:b/>
                <w:bCs/>
                <w:color w:val="000000"/>
                <w:lang w:eastAsia="es-ES"/>
              </w:rPr>
            </w:pPr>
          </w:p>
        </w:tc>
      </w:tr>
      <w:tr w:rsidR="00C46F63" w:rsidRPr="00C46F63" w:rsidTr="002A5474">
        <w:trPr>
          <w:trHeight w:val="300"/>
        </w:trPr>
        <w:tc>
          <w:tcPr>
            <w:tcW w:w="6307" w:type="dxa"/>
            <w:tcBorders>
              <w:top w:val="nil"/>
              <w:left w:val="single" w:sz="4" w:space="0" w:color="auto"/>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Factores</w:t>
            </w:r>
          </w:p>
        </w:tc>
        <w:tc>
          <w:tcPr>
            <w:tcW w:w="426"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425"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425"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c>
          <w:tcPr>
            <w:tcW w:w="425"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431"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225"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c>
          <w:tcPr>
            <w:tcW w:w="337"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283"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284" w:type="dxa"/>
            <w:tcBorders>
              <w:top w:val="nil"/>
              <w:left w:val="nil"/>
              <w:bottom w:val="single" w:sz="4" w:space="0" w:color="auto"/>
              <w:right w:val="single" w:sz="4" w:space="0" w:color="auto"/>
            </w:tcBorders>
            <w:shd w:val="clear" w:color="000000" w:fill="BFBFBF"/>
            <w:noWrap/>
            <w:vAlign w:val="bottom"/>
            <w:hideMark/>
          </w:tcPr>
          <w:p w:rsidR="00C46F63" w:rsidRPr="00C46F63" w:rsidRDefault="00C46F63" w:rsidP="002A5474">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r>
      <w:tr w:rsidR="002A5474" w:rsidRPr="00C46F63" w:rsidTr="00414A6B">
        <w:trPr>
          <w:trHeight w:val="530"/>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693"/>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702"/>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556"/>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1131"/>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r>
      <w:tr w:rsidR="002A5474" w:rsidRPr="00C46F63" w:rsidTr="002A5474">
        <w:trPr>
          <w:trHeight w:val="835"/>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C46F63">
              <w:rPr>
                <w:rFonts w:ascii="Arial" w:eastAsia="Times New Roman" w:hAnsi="Arial" w:cs="Arial"/>
                <w:b/>
                <w:bCs/>
                <w:color w:val="222222"/>
                <w:sz w:val="20"/>
                <w:szCs w:val="20"/>
                <w:lang w:eastAsia="es-ES"/>
              </w:rPr>
              <w:t xml:space="preserve">.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536"/>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2A5474" w:rsidRPr="00C46F63" w:rsidTr="00414A6B">
        <w:trPr>
          <w:trHeight w:val="545"/>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C46F63" w:rsidRPr="00C46F63" w:rsidRDefault="00C46F63" w:rsidP="002A5474">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426"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C46F63" w:rsidRPr="00C46F63" w:rsidRDefault="00C46F63" w:rsidP="002A5474">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r>
    </w:tbl>
    <w:p w:rsidR="00315E0C" w:rsidRDefault="002A5474" w:rsidP="002A547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Análisis prospectivo externo</w:t>
      </w: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A5474" w:rsidRPr="00B00FFB" w:rsidRDefault="002A5474" w:rsidP="002A5474">
      <w:pPr>
        <w:pStyle w:val="NormalWeb"/>
        <w:shd w:val="clear" w:color="auto" w:fill="FFFFFF"/>
        <w:spacing w:before="0" w:beforeAutospacing="0" w:after="0" w:afterAutospacing="0" w:line="360" w:lineRule="auto"/>
        <w:jc w:val="center"/>
        <w:rPr>
          <w:rFonts w:ascii="Arial" w:hAnsi="Arial" w:cs="Arial"/>
          <w:b/>
          <w:color w:val="222222"/>
          <w:sz w:val="20"/>
          <w:szCs w:val="20"/>
        </w:rPr>
      </w:pPr>
      <w:r>
        <w:rPr>
          <w:rFonts w:ascii="Arial" w:hAnsi="Arial" w:cs="Arial"/>
          <w:b/>
          <w:color w:val="222222"/>
          <w:sz w:val="22"/>
          <w:szCs w:val="22"/>
        </w:rPr>
        <w:t>Análisis prospectivo interno</w:t>
      </w:r>
    </w:p>
    <w:tbl>
      <w:tblPr>
        <w:tblW w:w="5194" w:type="pct"/>
        <w:tblLayout w:type="fixed"/>
        <w:tblCellMar>
          <w:left w:w="70" w:type="dxa"/>
          <w:right w:w="70" w:type="dxa"/>
        </w:tblCellMar>
        <w:tblLook w:val="04A0"/>
      </w:tblPr>
      <w:tblGrid>
        <w:gridCol w:w="6311"/>
        <w:gridCol w:w="423"/>
        <w:gridCol w:w="142"/>
        <w:gridCol w:w="306"/>
        <w:gridCol w:w="404"/>
        <w:gridCol w:w="341"/>
        <w:gridCol w:w="304"/>
        <w:gridCol w:w="268"/>
        <w:gridCol w:w="360"/>
        <w:gridCol w:w="283"/>
        <w:gridCol w:w="425"/>
      </w:tblGrid>
      <w:tr w:rsidR="00B3583B" w:rsidRPr="00414A6B" w:rsidTr="00B3583B">
        <w:trPr>
          <w:trHeight w:val="300"/>
        </w:trPr>
        <w:tc>
          <w:tcPr>
            <w:tcW w:w="3298" w:type="pct"/>
            <w:vMerge w:val="restar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Calificación</w:t>
            </w:r>
          </w:p>
        </w:tc>
        <w:tc>
          <w:tcPr>
            <w:tcW w:w="666" w:type="pct"/>
            <w:gridSpan w:val="4"/>
            <w:tcBorders>
              <w:top w:val="single" w:sz="4" w:space="0" w:color="auto"/>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Grado</w:t>
            </w:r>
          </w:p>
        </w:tc>
        <w:tc>
          <w:tcPr>
            <w:tcW w:w="477" w:type="pct"/>
            <w:gridSpan w:val="3"/>
            <w:tcBorders>
              <w:top w:val="single" w:sz="4" w:space="0" w:color="auto"/>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Grado</w:t>
            </w:r>
          </w:p>
        </w:tc>
        <w:tc>
          <w:tcPr>
            <w:tcW w:w="558" w:type="pct"/>
            <w:gridSpan w:val="3"/>
            <w:vMerge w:val="restart"/>
            <w:tcBorders>
              <w:top w:val="single" w:sz="4" w:space="0" w:color="auto"/>
              <w:left w:val="single" w:sz="4" w:space="0" w:color="auto"/>
              <w:bottom w:val="single" w:sz="4" w:space="0" w:color="000000"/>
              <w:right w:val="single" w:sz="4" w:space="0" w:color="000000"/>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Impacto</w:t>
            </w:r>
          </w:p>
        </w:tc>
      </w:tr>
      <w:tr w:rsidR="00B3583B" w:rsidRPr="00414A6B" w:rsidTr="00B3583B">
        <w:trPr>
          <w:trHeight w:val="300"/>
        </w:trPr>
        <w:tc>
          <w:tcPr>
            <w:tcW w:w="3298" w:type="pct"/>
            <w:vMerge/>
            <w:tcBorders>
              <w:top w:val="single" w:sz="4" w:space="0" w:color="auto"/>
              <w:left w:val="single" w:sz="4" w:space="0" w:color="auto"/>
              <w:bottom w:val="single" w:sz="4" w:space="0" w:color="auto"/>
              <w:right w:val="single" w:sz="4" w:space="0" w:color="auto"/>
            </w:tcBorders>
            <w:vAlign w:val="center"/>
            <w:hideMark/>
          </w:tcPr>
          <w:p w:rsidR="00414A6B" w:rsidRPr="00414A6B" w:rsidRDefault="00414A6B" w:rsidP="00414A6B">
            <w:pPr>
              <w:spacing w:after="0" w:line="240" w:lineRule="auto"/>
              <w:rPr>
                <w:rFonts w:ascii="Calibri" w:eastAsia="Times New Roman" w:hAnsi="Calibri" w:cs="Times New Roman"/>
                <w:b/>
                <w:bCs/>
                <w:color w:val="000000"/>
                <w:lang w:eastAsia="es-ES"/>
              </w:rPr>
            </w:pPr>
          </w:p>
        </w:tc>
        <w:tc>
          <w:tcPr>
            <w:tcW w:w="666" w:type="pct"/>
            <w:gridSpan w:val="4"/>
            <w:tcBorders>
              <w:top w:val="single" w:sz="4" w:space="0" w:color="auto"/>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Debilidades </w:t>
            </w:r>
          </w:p>
        </w:tc>
        <w:tc>
          <w:tcPr>
            <w:tcW w:w="477" w:type="pct"/>
            <w:gridSpan w:val="3"/>
            <w:tcBorders>
              <w:top w:val="single" w:sz="4" w:space="0" w:color="auto"/>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Fortalezas</w:t>
            </w:r>
          </w:p>
        </w:tc>
        <w:tc>
          <w:tcPr>
            <w:tcW w:w="558" w:type="pct"/>
            <w:gridSpan w:val="3"/>
            <w:vMerge/>
            <w:tcBorders>
              <w:top w:val="single" w:sz="4" w:space="0" w:color="auto"/>
              <w:left w:val="single" w:sz="4" w:space="0" w:color="auto"/>
              <w:bottom w:val="single" w:sz="4" w:space="0" w:color="000000"/>
              <w:right w:val="single" w:sz="4" w:space="0" w:color="000000"/>
            </w:tcBorders>
            <w:vAlign w:val="center"/>
            <w:hideMark/>
          </w:tcPr>
          <w:p w:rsidR="00414A6B" w:rsidRPr="00414A6B" w:rsidRDefault="00414A6B" w:rsidP="00414A6B">
            <w:pPr>
              <w:spacing w:after="0" w:line="240" w:lineRule="auto"/>
              <w:rPr>
                <w:rFonts w:ascii="Calibri" w:eastAsia="Times New Roman" w:hAnsi="Calibri" w:cs="Times New Roman"/>
                <w:b/>
                <w:bCs/>
                <w:color w:val="000000"/>
                <w:lang w:eastAsia="es-ES"/>
              </w:rPr>
            </w:pPr>
          </w:p>
        </w:tc>
      </w:tr>
      <w:tr w:rsidR="00B3583B" w:rsidRPr="00414A6B" w:rsidTr="00B3583B">
        <w:trPr>
          <w:trHeight w:val="300"/>
        </w:trPr>
        <w:tc>
          <w:tcPr>
            <w:tcW w:w="3298" w:type="pct"/>
            <w:tcBorders>
              <w:top w:val="nil"/>
              <w:left w:val="single" w:sz="4" w:space="0" w:color="auto"/>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Factores</w:t>
            </w:r>
          </w:p>
        </w:tc>
        <w:tc>
          <w:tcPr>
            <w:tcW w:w="221"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234" w:type="pct"/>
            <w:gridSpan w:val="2"/>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211"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c>
          <w:tcPr>
            <w:tcW w:w="178"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159"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140"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c>
          <w:tcPr>
            <w:tcW w:w="188"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148"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222" w:type="pct"/>
            <w:tcBorders>
              <w:top w:val="nil"/>
              <w:left w:val="nil"/>
              <w:bottom w:val="single" w:sz="4" w:space="0" w:color="auto"/>
              <w:right w:val="single" w:sz="4" w:space="0" w:color="auto"/>
            </w:tcBorders>
            <w:shd w:val="clear" w:color="000000" w:fill="BFBFBF"/>
            <w:noWrap/>
            <w:vAlign w:val="bottom"/>
            <w:hideMark/>
          </w:tcPr>
          <w:p w:rsidR="00414A6B" w:rsidRPr="00414A6B" w:rsidRDefault="00414A6B" w:rsidP="00414A6B">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r>
      <w:tr w:rsidR="00B3583B" w:rsidRPr="00414A6B" w:rsidTr="00B3583B">
        <w:trPr>
          <w:trHeight w:val="63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3583B" w:rsidRPr="00414A6B" w:rsidTr="00B3583B">
        <w:trPr>
          <w:trHeight w:val="285"/>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El personal Directivo trabaja como equipo.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3583B" w:rsidRPr="00414A6B" w:rsidTr="00B3583B">
        <w:trPr>
          <w:trHeight w:val="403"/>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Existe un mayor control administrativo con procesos establecidos.</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3583B" w:rsidRPr="00414A6B" w:rsidTr="00B3583B">
        <w:trPr>
          <w:trHeight w:val="564"/>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3583B" w:rsidRPr="00414A6B" w:rsidTr="00B3583B">
        <w:trPr>
          <w:trHeight w:val="572"/>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Los costos de sueldos son aproximadamente el 40% del presupuesto de la Institución.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3583B" w:rsidRPr="00414A6B" w:rsidTr="00B3583B">
        <w:trPr>
          <w:trHeight w:val="694"/>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Las plazas de personal no son de base, lo que implicaría cambios en cualquier momento.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3583B" w:rsidRPr="00414A6B" w:rsidTr="00B3583B">
        <w:trPr>
          <w:trHeight w:val="30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Poca presencia a nivel regional.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3583B" w:rsidRPr="00414A6B" w:rsidTr="00B3583B">
        <w:trPr>
          <w:trHeight w:val="30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Nulo programa de difusión y divulgación.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11"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414A6B" w:rsidRPr="00414A6B" w:rsidRDefault="00414A6B" w:rsidP="00414A6B">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bl>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B00FFB" w:rsidRDefault="00B00FFB"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8876" w:type="dxa"/>
        <w:tblInd w:w="51" w:type="dxa"/>
        <w:tblCellMar>
          <w:left w:w="70" w:type="dxa"/>
          <w:right w:w="70" w:type="dxa"/>
        </w:tblCellMar>
        <w:tblLook w:val="04A0"/>
      </w:tblPr>
      <w:tblGrid>
        <w:gridCol w:w="5305"/>
        <w:gridCol w:w="3571"/>
      </w:tblGrid>
      <w:tr w:rsidR="00B00FFB" w:rsidRPr="00B00FFB" w:rsidTr="00B00FFB">
        <w:trPr>
          <w:trHeight w:val="300"/>
        </w:trPr>
        <w:tc>
          <w:tcPr>
            <w:tcW w:w="8876" w:type="dxa"/>
            <w:gridSpan w:val="2"/>
            <w:tcBorders>
              <w:top w:val="nil"/>
              <w:left w:val="nil"/>
              <w:bottom w:val="nil"/>
              <w:right w:val="nil"/>
            </w:tcBorders>
            <w:shd w:val="clear" w:color="auto" w:fill="auto"/>
            <w:noWrap/>
            <w:vAlign w:val="bottom"/>
            <w:hideMark/>
          </w:tcPr>
          <w:p w:rsidR="00B00FFB" w:rsidRPr="00B00FFB" w:rsidRDefault="00B00FFB" w:rsidP="00B00FFB">
            <w:pPr>
              <w:spacing w:after="0" w:line="240" w:lineRule="auto"/>
              <w:jc w:val="center"/>
              <w:rPr>
                <w:rFonts w:ascii="Calibri" w:eastAsia="Times New Roman" w:hAnsi="Calibri" w:cs="Times New Roman"/>
                <w:color w:val="000000"/>
                <w:sz w:val="20"/>
                <w:szCs w:val="20"/>
                <w:lang w:eastAsia="es-ES"/>
              </w:rPr>
            </w:pPr>
            <w:r w:rsidRPr="00B00FFB">
              <w:rPr>
                <w:rFonts w:ascii="Calibri" w:eastAsia="Times New Roman" w:hAnsi="Calibri" w:cs="Times New Roman"/>
                <w:color w:val="000000"/>
                <w:sz w:val="20"/>
                <w:szCs w:val="20"/>
                <w:lang w:eastAsia="es-ES"/>
              </w:rPr>
              <w:t>Diagnóstico externo</w:t>
            </w:r>
          </w:p>
        </w:tc>
      </w:tr>
      <w:tr w:rsidR="00B00FFB" w:rsidRPr="00B00FFB" w:rsidTr="00B00FFB">
        <w:trPr>
          <w:trHeight w:val="300"/>
        </w:trPr>
        <w:tc>
          <w:tcPr>
            <w:tcW w:w="530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00FFB" w:rsidRPr="00B00FFB" w:rsidRDefault="00B00FFB" w:rsidP="00B00FFB">
            <w:pPr>
              <w:spacing w:after="0" w:line="240" w:lineRule="auto"/>
              <w:rPr>
                <w:rFonts w:ascii="Calibri" w:eastAsia="Times New Roman" w:hAnsi="Calibri" w:cs="Times New Roman"/>
                <w:b/>
                <w:bCs/>
                <w:color w:val="000000"/>
                <w:sz w:val="20"/>
                <w:szCs w:val="20"/>
                <w:lang w:eastAsia="es-ES"/>
              </w:rPr>
            </w:pPr>
            <w:r w:rsidRPr="00B00FFB">
              <w:rPr>
                <w:rFonts w:ascii="Calibri" w:eastAsia="Times New Roman" w:hAnsi="Calibri" w:cs="Times New Roman"/>
                <w:b/>
                <w:bCs/>
                <w:color w:val="000000"/>
                <w:sz w:val="20"/>
                <w:szCs w:val="20"/>
                <w:lang w:eastAsia="es-ES"/>
              </w:rPr>
              <w:t xml:space="preserve">Oportunidades </w:t>
            </w:r>
          </w:p>
        </w:tc>
        <w:tc>
          <w:tcPr>
            <w:tcW w:w="3571" w:type="dxa"/>
            <w:tcBorders>
              <w:top w:val="nil"/>
              <w:left w:val="nil"/>
              <w:bottom w:val="nil"/>
              <w:right w:val="nil"/>
            </w:tcBorders>
            <w:shd w:val="clear" w:color="000000" w:fill="BFBFBF"/>
            <w:noWrap/>
            <w:vAlign w:val="bottom"/>
            <w:hideMark/>
          </w:tcPr>
          <w:p w:rsidR="00B00FFB" w:rsidRPr="00B00FFB" w:rsidRDefault="00B00FFB" w:rsidP="00B00FFB">
            <w:pPr>
              <w:spacing w:after="0" w:line="240" w:lineRule="auto"/>
              <w:rPr>
                <w:rFonts w:ascii="Calibri" w:eastAsia="Times New Roman" w:hAnsi="Calibri" w:cs="Times New Roman"/>
                <w:color w:val="000000"/>
                <w:sz w:val="20"/>
                <w:szCs w:val="20"/>
                <w:lang w:eastAsia="es-ES"/>
              </w:rPr>
            </w:pPr>
            <w:r w:rsidRPr="00B00FFB">
              <w:rPr>
                <w:rFonts w:ascii="Calibri" w:eastAsia="Times New Roman" w:hAnsi="Calibri" w:cs="Times New Roman"/>
                <w:color w:val="000000"/>
                <w:sz w:val="20"/>
                <w:szCs w:val="20"/>
                <w:lang w:eastAsia="es-ES"/>
              </w:rPr>
              <w:t>Amenazas</w:t>
            </w:r>
          </w:p>
        </w:tc>
      </w:tr>
      <w:tr w:rsidR="00B00FFB" w:rsidRPr="00B00FFB" w:rsidTr="00B00FFB">
        <w:trPr>
          <w:trHeight w:val="127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3571" w:type="dxa"/>
            <w:tcBorders>
              <w:top w:val="single" w:sz="4" w:space="0" w:color="auto"/>
              <w:left w:val="nil"/>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r>
      <w:tr w:rsidR="00B00FFB" w:rsidRPr="00B00FFB" w:rsidTr="00B00FFB">
        <w:trPr>
          <w:trHeight w:val="127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3571" w:type="dxa"/>
            <w:tcBorders>
              <w:top w:val="nil"/>
              <w:left w:val="nil"/>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r>
      <w:tr w:rsidR="00B00FFB" w:rsidRPr="00B00FFB" w:rsidTr="00B00FFB">
        <w:trPr>
          <w:trHeight w:val="178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3571" w:type="dxa"/>
            <w:tcBorders>
              <w:top w:val="nil"/>
              <w:left w:val="nil"/>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B00FFB">
              <w:rPr>
                <w:rFonts w:ascii="Arial" w:eastAsia="Times New Roman" w:hAnsi="Arial" w:cs="Arial"/>
                <w:b/>
                <w:bCs/>
                <w:color w:val="222222"/>
                <w:sz w:val="20"/>
                <w:szCs w:val="20"/>
                <w:lang w:eastAsia="es-ES"/>
              </w:rPr>
              <w:t xml:space="preserve">. </w:t>
            </w:r>
          </w:p>
        </w:tc>
      </w:tr>
      <w:tr w:rsidR="00B00FFB" w:rsidRPr="00B00FFB" w:rsidTr="00B00FFB">
        <w:trPr>
          <w:trHeight w:val="76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3571" w:type="dxa"/>
            <w:tcBorders>
              <w:top w:val="nil"/>
              <w:left w:val="nil"/>
              <w:bottom w:val="single" w:sz="4" w:space="0" w:color="auto"/>
              <w:right w:val="single" w:sz="4" w:space="0" w:color="auto"/>
            </w:tcBorders>
            <w:shd w:val="clear" w:color="auto" w:fill="auto"/>
            <w:noWrap/>
            <w:vAlign w:val="center"/>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Un mayor número de investigadores pero pocas fuentes de trabajo repercute en la fuga de talentos. </w:t>
            </w:r>
          </w:p>
        </w:tc>
      </w:tr>
      <w:tr w:rsidR="00B00FFB" w:rsidRPr="00B00FFB" w:rsidTr="00B00FFB">
        <w:trPr>
          <w:trHeight w:val="300"/>
        </w:trPr>
        <w:tc>
          <w:tcPr>
            <w:tcW w:w="5305" w:type="dxa"/>
            <w:tcBorders>
              <w:top w:val="nil"/>
              <w:left w:val="nil"/>
              <w:bottom w:val="nil"/>
              <w:right w:val="nil"/>
            </w:tcBorders>
            <w:shd w:val="clear" w:color="auto" w:fill="auto"/>
            <w:noWrap/>
            <w:vAlign w:val="bottom"/>
            <w:hideMark/>
          </w:tcPr>
          <w:p w:rsidR="00B00FFB" w:rsidRPr="00B00FFB" w:rsidRDefault="00B00FFB" w:rsidP="00B00FFB">
            <w:pPr>
              <w:spacing w:after="0" w:line="240" w:lineRule="auto"/>
              <w:rPr>
                <w:rFonts w:ascii="Calibri" w:eastAsia="Times New Roman" w:hAnsi="Calibri" w:cs="Times New Roman"/>
                <w:color w:val="000000"/>
                <w:sz w:val="20"/>
                <w:szCs w:val="20"/>
                <w:lang w:eastAsia="es-ES"/>
              </w:rPr>
            </w:pPr>
          </w:p>
        </w:tc>
        <w:tc>
          <w:tcPr>
            <w:tcW w:w="3571" w:type="dxa"/>
            <w:tcBorders>
              <w:top w:val="nil"/>
              <w:left w:val="nil"/>
              <w:bottom w:val="nil"/>
              <w:right w:val="nil"/>
            </w:tcBorders>
            <w:shd w:val="clear" w:color="auto" w:fill="auto"/>
            <w:noWrap/>
            <w:vAlign w:val="bottom"/>
            <w:hideMark/>
          </w:tcPr>
          <w:p w:rsidR="00B00FFB" w:rsidRPr="00B00FFB" w:rsidRDefault="00B00FFB" w:rsidP="00B00FFB">
            <w:pPr>
              <w:spacing w:after="0" w:line="240" w:lineRule="auto"/>
              <w:rPr>
                <w:rFonts w:ascii="Calibri" w:eastAsia="Times New Roman" w:hAnsi="Calibri" w:cs="Times New Roman"/>
                <w:color w:val="000000"/>
                <w:sz w:val="20"/>
                <w:szCs w:val="20"/>
                <w:lang w:eastAsia="es-ES"/>
              </w:rPr>
            </w:pPr>
          </w:p>
        </w:tc>
      </w:tr>
      <w:tr w:rsidR="00B00FFB" w:rsidRPr="00B00FFB" w:rsidTr="00B00FFB">
        <w:trPr>
          <w:trHeight w:val="300"/>
        </w:trPr>
        <w:tc>
          <w:tcPr>
            <w:tcW w:w="8876" w:type="dxa"/>
            <w:gridSpan w:val="2"/>
            <w:tcBorders>
              <w:top w:val="nil"/>
              <w:left w:val="nil"/>
              <w:bottom w:val="nil"/>
              <w:right w:val="nil"/>
            </w:tcBorders>
            <w:shd w:val="clear" w:color="auto" w:fill="auto"/>
            <w:noWrap/>
            <w:vAlign w:val="bottom"/>
            <w:hideMark/>
          </w:tcPr>
          <w:p w:rsidR="00B00FFB" w:rsidRPr="00B00FFB" w:rsidRDefault="00B00FFB" w:rsidP="00B00FFB">
            <w:pPr>
              <w:spacing w:after="0" w:line="240" w:lineRule="auto"/>
              <w:jc w:val="center"/>
              <w:rPr>
                <w:rFonts w:ascii="Calibri" w:eastAsia="Times New Roman" w:hAnsi="Calibri" w:cs="Times New Roman"/>
                <w:color w:val="000000"/>
                <w:sz w:val="20"/>
                <w:szCs w:val="20"/>
                <w:lang w:eastAsia="es-ES"/>
              </w:rPr>
            </w:pPr>
            <w:r w:rsidRPr="00B00FFB">
              <w:rPr>
                <w:rFonts w:ascii="Calibri" w:eastAsia="Times New Roman" w:hAnsi="Calibri" w:cs="Times New Roman"/>
                <w:color w:val="000000"/>
                <w:sz w:val="20"/>
                <w:szCs w:val="20"/>
                <w:lang w:eastAsia="es-ES"/>
              </w:rPr>
              <w:t>Diagnóstico interno</w:t>
            </w:r>
          </w:p>
        </w:tc>
      </w:tr>
      <w:tr w:rsidR="00B00FFB" w:rsidRPr="00B00FFB" w:rsidTr="00B00FFB">
        <w:trPr>
          <w:trHeight w:val="300"/>
        </w:trPr>
        <w:tc>
          <w:tcPr>
            <w:tcW w:w="530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00FFB" w:rsidRPr="00B00FFB" w:rsidRDefault="00B00FFB" w:rsidP="00B00FFB">
            <w:pPr>
              <w:spacing w:after="0" w:line="240" w:lineRule="auto"/>
              <w:rPr>
                <w:rFonts w:ascii="Calibri" w:eastAsia="Times New Roman" w:hAnsi="Calibri" w:cs="Times New Roman"/>
                <w:b/>
                <w:bCs/>
                <w:color w:val="000000"/>
                <w:sz w:val="20"/>
                <w:szCs w:val="20"/>
                <w:lang w:eastAsia="es-ES"/>
              </w:rPr>
            </w:pPr>
            <w:r w:rsidRPr="00B00FFB">
              <w:rPr>
                <w:rFonts w:ascii="Calibri" w:eastAsia="Times New Roman" w:hAnsi="Calibri" w:cs="Times New Roman"/>
                <w:b/>
                <w:bCs/>
                <w:color w:val="000000"/>
                <w:sz w:val="20"/>
                <w:szCs w:val="20"/>
                <w:lang w:eastAsia="es-ES"/>
              </w:rPr>
              <w:t>Fortalezas</w:t>
            </w:r>
          </w:p>
        </w:tc>
        <w:tc>
          <w:tcPr>
            <w:tcW w:w="3571" w:type="dxa"/>
            <w:tcBorders>
              <w:top w:val="nil"/>
              <w:left w:val="nil"/>
              <w:bottom w:val="nil"/>
              <w:right w:val="nil"/>
            </w:tcBorders>
            <w:shd w:val="clear" w:color="000000" w:fill="BFBFBF"/>
            <w:noWrap/>
            <w:vAlign w:val="bottom"/>
            <w:hideMark/>
          </w:tcPr>
          <w:p w:rsidR="00B00FFB" w:rsidRPr="00B00FFB" w:rsidRDefault="00B00FFB" w:rsidP="00B00FFB">
            <w:pPr>
              <w:spacing w:after="0" w:line="240" w:lineRule="auto"/>
              <w:rPr>
                <w:rFonts w:ascii="Calibri" w:eastAsia="Times New Roman" w:hAnsi="Calibri" w:cs="Times New Roman"/>
                <w:color w:val="000000"/>
                <w:sz w:val="20"/>
                <w:szCs w:val="20"/>
                <w:lang w:eastAsia="es-ES"/>
              </w:rPr>
            </w:pPr>
            <w:r w:rsidRPr="00B00FFB">
              <w:rPr>
                <w:rFonts w:ascii="Calibri" w:eastAsia="Times New Roman" w:hAnsi="Calibri" w:cs="Times New Roman"/>
                <w:color w:val="000000"/>
                <w:sz w:val="20"/>
                <w:szCs w:val="20"/>
                <w:lang w:eastAsia="es-ES"/>
              </w:rPr>
              <w:t>Debilidades</w:t>
            </w:r>
          </w:p>
        </w:tc>
      </w:tr>
      <w:tr w:rsidR="00B00FFB" w:rsidRPr="00B00FFB" w:rsidTr="00B00FFB">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3571" w:type="dxa"/>
            <w:tcBorders>
              <w:top w:val="single" w:sz="4" w:space="0" w:color="auto"/>
              <w:left w:val="nil"/>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Los costos de sueldos son aproximadamente el 40% del presupuesto de la Institución. </w:t>
            </w:r>
          </w:p>
        </w:tc>
      </w:tr>
      <w:tr w:rsidR="00B00FFB" w:rsidRPr="00B00FFB" w:rsidTr="00B00FFB">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personal Directivo trabaja como equipo. </w:t>
            </w:r>
          </w:p>
        </w:tc>
        <w:tc>
          <w:tcPr>
            <w:tcW w:w="3571" w:type="dxa"/>
            <w:tcBorders>
              <w:top w:val="nil"/>
              <w:left w:val="nil"/>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Las plazas de personal no son de base, lo que implicaría cambios en cualquier momento. </w:t>
            </w:r>
          </w:p>
        </w:tc>
      </w:tr>
      <w:tr w:rsidR="00B00FFB" w:rsidRPr="00B00FFB" w:rsidTr="00B00FFB">
        <w:trPr>
          <w:trHeight w:val="525"/>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Existe un mayor control administrativo con procesos establecidos.</w:t>
            </w:r>
          </w:p>
        </w:tc>
        <w:tc>
          <w:tcPr>
            <w:tcW w:w="3571" w:type="dxa"/>
            <w:tcBorders>
              <w:top w:val="nil"/>
              <w:left w:val="nil"/>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Poca presencia a nivel regional. </w:t>
            </w:r>
          </w:p>
        </w:tc>
      </w:tr>
      <w:tr w:rsidR="00B00FFB" w:rsidRPr="00B00FFB" w:rsidTr="00B00FFB">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3571" w:type="dxa"/>
            <w:tcBorders>
              <w:top w:val="nil"/>
              <w:left w:val="nil"/>
              <w:bottom w:val="single" w:sz="4" w:space="0" w:color="auto"/>
              <w:right w:val="single" w:sz="4" w:space="0" w:color="auto"/>
            </w:tcBorders>
            <w:shd w:val="clear" w:color="auto" w:fill="auto"/>
            <w:noWrap/>
            <w:vAlign w:val="bottom"/>
            <w:hideMark/>
          </w:tcPr>
          <w:p w:rsidR="00B00FFB" w:rsidRPr="00B00FFB" w:rsidRDefault="00B00FFB" w:rsidP="00B00FFB">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Nulo programa de difusión y divulgación. </w:t>
            </w:r>
          </w:p>
        </w:tc>
      </w:tr>
    </w:tbl>
    <w:p w:rsidR="00B00FFB" w:rsidRDefault="00B00FFB"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337364" w:rsidP="0033736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Matrices de cuantificación</w:t>
      </w: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8876" w:type="dxa"/>
        <w:tblInd w:w="51" w:type="dxa"/>
        <w:tblCellMar>
          <w:left w:w="70" w:type="dxa"/>
          <w:right w:w="70" w:type="dxa"/>
        </w:tblCellMar>
        <w:tblLook w:val="04A0"/>
      </w:tblPr>
      <w:tblGrid>
        <w:gridCol w:w="6093"/>
        <w:gridCol w:w="1046"/>
        <w:gridCol w:w="1108"/>
        <w:gridCol w:w="912"/>
      </w:tblGrid>
      <w:tr w:rsidR="00337364" w:rsidRPr="00337364" w:rsidTr="00337364">
        <w:trPr>
          <w:trHeight w:val="255"/>
        </w:trPr>
        <w:tc>
          <w:tcPr>
            <w:tcW w:w="7595"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r>
      <w:tr w:rsidR="00337364" w:rsidRPr="00337364" w:rsidTr="00337364">
        <w:trPr>
          <w:trHeight w:val="255"/>
        </w:trPr>
        <w:tc>
          <w:tcPr>
            <w:tcW w:w="759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Oportunidades</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337364" w:rsidRPr="00337364" w:rsidTr="00337364">
        <w:trPr>
          <w:trHeight w:val="76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3.5</w:t>
            </w:r>
          </w:p>
        </w:tc>
      </w:tr>
      <w:tr w:rsidR="00337364" w:rsidRPr="00337364" w:rsidTr="00337364">
        <w:trPr>
          <w:trHeight w:val="127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337364" w:rsidRPr="00337364" w:rsidTr="00337364">
        <w:trPr>
          <w:trHeight w:val="1530"/>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lastRenderedPageBreak/>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2.5</w:t>
            </w:r>
          </w:p>
        </w:tc>
      </w:tr>
      <w:tr w:rsidR="00337364" w:rsidRPr="00337364" w:rsidTr="00337364">
        <w:trPr>
          <w:trHeight w:val="76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0.6</w:t>
            </w:r>
          </w:p>
        </w:tc>
        <w:tc>
          <w:tcPr>
            <w:tcW w:w="427"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4.2</w:t>
            </w:r>
          </w:p>
        </w:tc>
      </w:tr>
      <w:tr w:rsidR="00337364" w:rsidRPr="00337364" w:rsidTr="00337364">
        <w:trPr>
          <w:trHeight w:val="255"/>
        </w:trPr>
        <w:tc>
          <w:tcPr>
            <w:tcW w:w="7595"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18.3</w:t>
            </w:r>
          </w:p>
        </w:tc>
      </w:tr>
      <w:tr w:rsidR="00337364" w:rsidRPr="00337364" w:rsidTr="00337364">
        <w:trPr>
          <w:trHeight w:val="255"/>
        </w:trPr>
        <w:tc>
          <w:tcPr>
            <w:tcW w:w="7595"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4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right"/>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4.575</w:t>
            </w:r>
          </w:p>
        </w:tc>
      </w:tr>
    </w:tbl>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8876" w:type="dxa"/>
        <w:tblInd w:w="51" w:type="dxa"/>
        <w:tblCellMar>
          <w:left w:w="70" w:type="dxa"/>
          <w:right w:w="70" w:type="dxa"/>
        </w:tblCellMar>
        <w:tblLook w:val="04A0"/>
      </w:tblPr>
      <w:tblGrid>
        <w:gridCol w:w="5973"/>
        <w:gridCol w:w="1087"/>
        <w:gridCol w:w="1152"/>
        <w:gridCol w:w="947"/>
      </w:tblGrid>
      <w:tr w:rsidR="00337364" w:rsidRPr="00337364" w:rsidTr="00337364">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Amenazas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337364" w:rsidRPr="00337364" w:rsidTr="00337364">
        <w:trPr>
          <w:trHeight w:val="1020"/>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4.5</w:t>
            </w:r>
          </w:p>
        </w:tc>
      </w:tr>
      <w:tr w:rsidR="00337364" w:rsidRPr="00337364" w:rsidTr="00337364">
        <w:trPr>
          <w:trHeight w:val="765"/>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337364" w:rsidRPr="00337364" w:rsidTr="00337364">
        <w:trPr>
          <w:trHeight w:val="1020"/>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337364">
              <w:rPr>
                <w:rFonts w:ascii="Arial" w:eastAsia="Times New Roman" w:hAnsi="Arial" w:cs="Arial"/>
                <w:b/>
                <w:bCs/>
                <w:color w:val="222222"/>
                <w:sz w:val="20"/>
                <w:szCs w:val="20"/>
                <w:lang w:eastAsia="es-ES"/>
              </w:rPr>
              <w:t xml:space="preserve">. </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6</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5.4</w:t>
            </w:r>
          </w:p>
        </w:tc>
      </w:tr>
      <w:tr w:rsidR="00337364" w:rsidRPr="00337364" w:rsidTr="00337364">
        <w:trPr>
          <w:trHeight w:val="765"/>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0.3</w:t>
            </w:r>
          </w:p>
        </w:tc>
        <w:tc>
          <w:tcPr>
            <w:tcW w:w="583" w:type="dxa"/>
            <w:tcBorders>
              <w:top w:val="nil"/>
              <w:left w:val="nil"/>
              <w:bottom w:val="single" w:sz="4" w:space="0" w:color="auto"/>
              <w:right w:val="single" w:sz="4" w:space="0" w:color="auto"/>
            </w:tcBorders>
            <w:shd w:val="clear" w:color="auto" w:fill="auto"/>
            <w:noWrap/>
            <w:vAlign w:val="center"/>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18.9</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right"/>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4.725</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r>
      <w:tr w:rsidR="00337364" w:rsidRPr="00337364" w:rsidTr="00337364">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Fortalezas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337364" w:rsidRPr="00337364" w:rsidTr="00337364">
        <w:trPr>
          <w:trHeight w:val="53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337364" w:rsidRPr="00337364" w:rsidTr="00337364">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personal Directivo trabaja como equipo.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337364" w:rsidRPr="00337364" w:rsidTr="00337364">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Existe un mayor control administrativo con procesos establecidos.</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4.9</w:t>
            </w:r>
          </w:p>
        </w:tc>
      </w:tr>
      <w:tr w:rsidR="00337364" w:rsidRPr="00337364" w:rsidTr="00337364">
        <w:trPr>
          <w:trHeight w:val="62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0.3</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2.7</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23.8</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5.95</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r>
      <w:tr w:rsidR="00337364" w:rsidRPr="00337364" w:rsidTr="00337364">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Debilidades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337364" w:rsidRPr="00337364" w:rsidTr="00337364">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Los costos de sueldos son aproximadamente el 40% del presupuesto de la Institución.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4.5</w:t>
            </w:r>
          </w:p>
        </w:tc>
      </w:tr>
      <w:tr w:rsidR="00337364" w:rsidRPr="00337364" w:rsidTr="00337364">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Las plazas de personal no son de base, lo que implicaría cambios en cualquier momento.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4.9</w:t>
            </w:r>
          </w:p>
        </w:tc>
      </w:tr>
      <w:tr w:rsidR="00337364" w:rsidRPr="00337364" w:rsidTr="00337364">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Poca presencia a nivel regional.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2.1</w:t>
            </w:r>
          </w:p>
        </w:tc>
      </w:tr>
      <w:tr w:rsidR="00337364" w:rsidRPr="00337364" w:rsidTr="00337364">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Nulo programa de difusión y divulgación. </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0.6</w:t>
            </w:r>
          </w:p>
        </w:tc>
        <w:tc>
          <w:tcPr>
            <w:tcW w:w="583" w:type="dxa"/>
            <w:tcBorders>
              <w:top w:val="nil"/>
              <w:left w:val="nil"/>
              <w:bottom w:val="single" w:sz="4" w:space="0" w:color="auto"/>
              <w:right w:val="single" w:sz="4" w:space="0" w:color="auto"/>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5.4</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16.9</w:t>
            </w:r>
          </w:p>
        </w:tc>
      </w:tr>
      <w:tr w:rsidR="00337364" w:rsidRPr="00337364" w:rsidTr="00337364">
        <w:trPr>
          <w:trHeight w:val="255"/>
        </w:trPr>
        <w:tc>
          <w:tcPr>
            <w:tcW w:w="7127"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337364" w:rsidRPr="00337364" w:rsidRDefault="00337364" w:rsidP="00337364">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4.225</w:t>
            </w:r>
          </w:p>
        </w:tc>
      </w:tr>
    </w:tbl>
    <w:p w:rsidR="00E66ECE" w:rsidRDefault="00027792"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lastRenderedPageBreak/>
        <w:t>Matriz FODA</w:t>
      </w: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0" w:type="auto"/>
        <w:tblInd w:w="51" w:type="dxa"/>
        <w:tblLayout w:type="fixed"/>
        <w:tblCellMar>
          <w:left w:w="70" w:type="dxa"/>
          <w:right w:w="70" w:type="dxa"/>
        </w:tblCellMar>
        <w:tblLook w:val="04A0"/>
      </w:tblPr>
      <w:tblGrid>
        <w:gridCol w:w="3138"/>
        <w:gridCol w:w="3544"/>
        <w:gridCol w:w="2477"/>
      </w:tblGrid>
      <w:tr w:rsidR="00C20D1A" w:rsidRPr="00C20D1A" w:rsidTr="00F30403">
        <w:trPr>
          <w:trHeight w:val="255"/>
        </w:trPr>
        <w:tc>
          <w:tcPr>
            <w:tcW w:w="3138"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3544"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Fortalezas</w:t>
            </w:r>
          </w:p>
        </w:tc>
        <w:tc>
          <w:tcPr>
            <w:tcW w:w="2477"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Debilidades</w:t>
            </w:r>
          </w:p>
        </w:tc>
      </w:tr>
      <w:tr w:rsidR="00C20D1A" w:rsidRPr="00C20D1A" w:rsidTr="00F30403">
        <w:trPr>
          <w:trHeight w:val="765"/>
        </w:trPr>
        <w:tc>
          <w:tcPr>
            <w:tcW w:w="3138"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Existe suficiente personal capacitado por unidad, que facilitaría la preparación y capacitación para un nuevo puesto. </w:t>
            </w:r>
          </w:p>
        </w:tc>
        <w:tc>
          <w:tcPr>
            <w:tcW w:w="2477" w:type="dxa"/>
            <w:tcBorders>
              <w:top w:val="single" w:sz="4" w:space="0" w:color="auto"/>
              <w:left w:val="nil"/>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Los costos de sueldos son aproximadamente el 40% del presupuesto de la Institución. </w:t>
            </w:r>
          </w:p>
        </w:tc>
      </w:tr>
      <w:tr w:rsidR="00C20D1A" w:rsidRPr="00C20D1A" w:rsidTr="00F30403">
        <w:trPr>
          <w:trHeight w:val="765"/>
        </w:trPr>
        <w:tc>
          <w:tcPr>
            <w:tcW w:w="3138"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personal Directivo trabaja como equipo. </w:t>
            </w:r>
          </w:p>
        </w:tc>
        <w:tc>
          <w:tcPr>
            <w:tcW w:w="2477" w:type="dxa"/>
            <w:tcBorders>
              <w:top w:val="nil"/>
              <w:left w:val="nil"/>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Las plazas de personal no son de base, lo que implicaría cambios en cualquier momento. </w:t>
            </w:r>
          </w:p>
        </w:tc>
      </w:tr>
      <w:tr w:rsidR="00C20D1A" w:rsidRPr="00C20D1A" w:rsidTr="00F30403">
        <w:trPr>
          <w:trHeight w:val="510"/>
        </w:trPr>
        <w:tc>
          <w:tcPr>
            <w:tcW w:w="3138"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Existe un mayor control administrativo con procesos establecidos.</w:t>
            </w:r>
          </w:p>
        </w:tc>
        <w:tc>
          <w:tcPr>
            <w:tcW w:w="2477" w:type="dxa"/>
            <w:tcBorders>
              <w:top w:val="nil"/>
              <w:left w:val="nil"/>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Poca presencia a nivel regional. </w:t>
            </w:r>
          </w:p>
        </w:tc>
      </w:tr>
      <w:tr w:rsidR="00C20D1A" w:rsidRPr="00C20D1A" w:rsidTr="00F30403">
        <w:trPr>
          <w:trHeight w:val="765"/>
        </w:trPr>
        <w:tc>
          <w:tcPr>
            <w:tcW w:w="3138" w:type="dxa"/>
            <w:tcBorders>
              <w:top w:val="nil"/>
              <w:left w:val="nil"/>
              <w:bottom w:val="nil"/>
              <w:right w:val="nil"/>
            </w:tcBorders>
            <w:shd w:val="clear" w:color="auto" w:fill="auto"/>
            <w:noWrap/>
            <w:vAlign w:val="bottom"/>
            <w:hideMark/>
          </w:tcPr>
          <w:p w:rsidR="00C20D1A" w:rsidRPr="00C20D1A" w:rsidRDefault="00C20D1A" w:rsidP="00C20D1A">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 xml:space="preserve">Oportunidades </w:t>
            </w: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presupuesto está diseñado para cumplir con las metas establecidas contemplando contratiempos. </w:t>
            </w:r>
          </w:p>
        </w:tc>
        <w:tc>
          <w:tcPr>
            <w:tcW w:w="2477" w:type="dxa"/>
            <w:tcBorders>
              <w:top w:val="nil"/>
              <w:left w:val="nil"/>
              <w:bottom w:val="single" w:sz="4" w:space="0" w:color="auto"/>
              <w:right w:val="single" w:sz="4" w:space="0" w:color="auto"/>
            </w:tcBorders>
            <w:shd w:val="clear" w:color="auto" w:fill="auto"/>
            <w:noWrap/>
            <w:vAlign w:val="bottom"/>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Nulo programa de difusión y divulgación. </w:t>
            </w:r>
          </w:p>
        </w:tc>
      </w:tr>
      <w:tr w:rsidR="00C20D1A" w:rsidRPr="00C20D1A" w:rsidTr="00F30403">
        <w:trPr>
          <w:trHeight w:val="1020"/>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Gobierno Federal tiene planteado invertir al menos el 1% del Producto Interno Bruto en Ciencia, Tecnología e Innovación. </w:t>
            </w:r>
          </w:p>
        </w:tc>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Si seguimos trabajando con el máximo personal y trabajando en la creación de nuevos puestos, en virtud a que nuestro personal directivo trabaja como equipo y existe un mayor control administrativo con los procesos establecidos y tomando como base que presupuesto está diseñado para cumplir con las metas establecidas contemplando contratiempos; se pueden aprovechar que el Gobierno Federal tiene planteado invertir al menos el 1% en del PIB en CTI, así como también se aprovecha que los estados de mayor IDH son Chiapas, Veracruz y Oaxaca, el incremento del número de investigadores estatles. </w:t>
            </w:r>
          </w:p>
        </w:tc>
        <w:tc>
          <w:tcPr>
            <w:tcW w:w="2477" w:type="dxa"/>
            <w:vMerge w:val="restart"/>
            <w:tcBorders>
              <w:top w:val="nil"/>
              <w:left w:val="single" w:sz="4" w:space="0" w:color="auto"/>
              <w:bottom w:val="single" w:sz="4" w:space="0" w:color="auto"/>
              <w:right w:val="single" w:sz="4" w:space="0" w:color="auto"/>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Debido al alto costo que representa el sueldo de los trabajadores, que nuestros trabajadores no son de base, que no contamos con poca presencia regional y nuestra difusión y divulgación; debemos aprovechar que el Gobierno Federal tiene planteado invertir al menos el 1% en del PIB en CTI, así como también se debe aprovechar que los estados de mayor IDH son Chiapas, Veracruz y Oaxaca, el incremento del número de investigadores estatales. </w:t>
            </w:r>
          </w:p>
        </w:tc>
      </w:tr>
      <w:tr w:rsidR="00C20D1A" w:rsidRPr="00C20D1A" w:rsidTr="00F30403">
        <w:trPr>
          <w:trHeight w:val="1359"/>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Gobierno Federal a través del Consejo Nacional de Ciencia y Tecnología destina mayores recursos a los Estados de menor índice de desarrollo humano como son  Chiapas, Oaxaca y Veracruz. </w:t>
            </w:r>
          </w:p>
        </w:tc>
        <w:tc>
          <w:tcPr>
            <w:tcW w:w="3544"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r>
      <w:tr w:rsidR="00C20D1A" w:rsidRPr="00C20D1A" w:rsidTr="00F30403">
        <w:trPr>
          <w:trHeight w:val="1807"/>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3544"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r>
      <w:tr w:rsidR="00C20D1A" w:rsidRPr="00C20D1A" w:rsidTr="00F30403">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La tendencia indica que el número de investigadores Estatales ha incrementado en los últimos años. </w:t>
            </w:r>
          </w:p>
        </w:tc>
        <w:tc>
          <w:tcPr>
            <w:tcW w:w="3544"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18"/>
                <w:szCs w:val="18"/>
                <w:lang w:eastAsia="es-ES"/>
              </w:rPr>
            </w:pPr>
          </w:p>
        </w:tc>
      </w:tr>
      <w:tr w:rsidR="00C20D1A" w:rsidRPr="00C20D1A" w:rsidTr="00F30403">
        <w:trPr>
          <w:trHeight w:val="255"/>
        </w:trPr>
        <w:tc>
          <w:tcPr>
            <w:tcW w:w="3138" w:type="dxa"/>
            <w:tcBorders>
              <w:top w:val="nil"/>
              <w:left w:val="nil"/>
              <w:bottom w:val="nil"/>
              <w:right w:val="nil"/>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Amenazas</w:t>
            </w:r>
          </w:p>
        </w:tc>
        <w:tc>
          <w:tcPr>
            <w:tcW w:w="3544" w:type="dxa"/>
            <w:tcBorders>
              <w:top w:val="nil"/>
              <w:left w:val="nil"/>
              <w:bottom w:val="nil"/>
              <w:right w:val="nil"/>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p>
        </w:tc>
        <w:tc>
          <w:tcPr>
            <w:tcW w:w="2477" w:type="dxa"/>
            <w:tcBorders>
              <w:top w:val="nil"/>
              <w:left w:val="nil"/>
              <w:bottom w:val="nil"/>
              <w:right w:val="nil"/>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p>
        </w:tc>
      </w:tr>
      <w:tr w:rsidR="00C20D1A" w:rsidRPr="00C20D1A" w:rsidTr="00F30403">
        <w:trPr>
          <w:trHeight w:val="1093"/>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Si la economía del País no es fuerte y sufre recortes durante ese periodo, los recortes presupuestales afectan de manera significativa a la inversión de Ciencia, Tecnología e Innovación. </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Debemos trabajar con el  personal capacitando a los nuevos puestos, aprovechando que nuestro personal directivo trabaja como equipo y existe un mayor control administrativo con los procesos establecidos y tomando como base que presupuesto está diseñado para cumplir con las metas establecidas contemplando contratiempos; con la finalidad de evitar riesgos por la debilidad económica del pais, o de que otras instituciones estatales nos ganen el recurso y las pocas fuentes de trabajo generen la fuga de talento de nuestro estado. </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0D1A" w:rsidRPr="00C20D1A" w:rsidRDefault="00C20D1A" w:rsidP="00C20D1A">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Debido al alto costo que representa el sueldo de los trabajadores, que nuestros trabajadores no son de base, que no contamos con poca presencia regional y nuestra difusión y divulgación; debemos evitar riesgos por la debilidad económica del pais, o de que otras instituciones estatales nos ganen el recurso y las pocas fuentes de trabajo generen la fuga de talento de nuestro estado.</w:t>
            </w:r>
          </w:p>
        </w:tc>
      </w:tr>
      <w:tr w:rsidR="00C20D1A" w:rsidRPr="00C20D1A" w:rsidTr="00F30403">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Los recursos si bien se destinan al Estado, se pueden dirigir a otras Instituciones que soliciten inversión.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r>
      <w:tr w:rsidR="00C20D1A" w:rsidRPr="00C20D1A" w:rsidTr="00F30403">
        <w:trPr>
          <w:trHeight w:val="1020"/>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Si ocurriera una alerta epidemiológica el Estado destinaría la mayor cantidad de recursos que le fuera posible, dejando a otras dependencias con un limitado recurso</w:t>
            </w:r>
            <w:r w:rsidRPr="00C20D1A">
              <w:rPr>
                <w:rFonts w:ascii="Arial" w:eastAsia="Times New Roman" w:hAnsi="Arial" w:cs="Arial"/>
                <w:b/>
                <w:bCs/>
                <w:color w:val="222222"/>
                <w:sz w:val="18"/>
                <w:szCs w:val="18"/>
                <w:lang w:eastAsia="es-ES"/>
              </w:rPr>
              <w:t xml:space="preserve">.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r>
      <w:tr w:rsidR="00C20D1A" w:rsidRPr="00C20D1A" w:rsidTr="00F30403">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C20D1A" w:rsidRPr="00C20D1A" w:rsidRDefault="00C20D1A" w:rsidP="00C20D1A">
            <w:pPr>
              <w:spacing w:after="0" w:line="240" w:lineRule="auto"/>
              <w:jc w:val="both"/>
              <w:rPr>
                <w:rFonts w:ascii="Arial" w:eastAsia="Times New Roman" w:hAnsi="Arial" w:cs="Arial"/>
                <w:color w:val="222222"/>
                <w:sz w:val="20"/>
                <w:szCs w:val="20"/>
                <w:lang w:eastAsia="es-ES"/>
              </w:rPr>
            </w:pPr>
            <w:r w:rsidRPr="00C20D1A">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C20D1A" w:rsidRPr="00C20D1A" w:rsidRDefault="00C20D1A" w:rsidP="00C20D1A">
            <w:pPr>
              <w:spacing w:after="0" w:line="240" w:lineRule="auto"/>
              <w:rPr>
                <w:rFonts w:ascii="Arial" w:eastAsia="Times New Roman" w:hAnsi="Arial" w:cs="Arial"/>
                <w:color w:val="000000"/>
                <w:sz w:val="20"/>
                <w:szCs w:val="20"/>
                <w:lang w:eastAsia="es-ES"/>
              </w:rPr>
            </w:pPr>
          </w:p>
        </w:tc>
      </w:tr>
    </w:tbl>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66ECE" w:rsidRDefault="00E66ECE" w:rsidP="00CC53C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516E4" w:rsidRDefault="002516E4" w:rsidP="002516E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D0EF0" w:rsidRDefault="00FD0EF0" w:rsidP="004D7691">
      <w:pPr>
        <w:pStyle w:val="NormalWeb"/>
        <w:shd w:val="clear" w:color="auto" w:fill="FFFFFF"/>
        <w:spacing w:before="0" w:beforeAutospacing="0" w:after="0" w:afterAutospacing="0" w:line="360" w:lineRule="auto"/>
        <w:rPr>
          <w:rFonts w:ascii="Arial" w:hAnsi="Arial" w:cs="Arial"/>
          <w:b/>
          <w:color w:val="222222"/>
          <w:sz w:val="22"/>
          <w:szCs w:val="22"/>
        </w:rPr>
      </w:pPr>
    </w:p>
    <w:p w:rsidR="00785753" w:rsidRPr="004D7691" w:rsidRDefault="00785753" w:rsidP="004D7691"/>
    <w:sectPr w:rsidR="00785753" w:rsidRPr="004D7691" w:rsidSect="004D7691">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82A80"/>
    <w:multiLevelType w:val="hybridMultilevel"/>
    <w:tmpl w:val="849A7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E57419"/>
    <w:multiLevelType w:val="hybridMultilevel"/>
    <w:tmpl w:val="60D68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397B4E"/>
    <w:multiLevelType w:val="hybridMultilevel"/>
    <w:tmpl w:val="528EA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4D7691"/>
    <w:rsid w:val="00024A14"/>
    <w:rsid w:val="00027792"/>
    <w:rsid w:val="000909A5"/>
    <w:rsid w:val="00094E84"/>
    <w:rsid w:val="000A47D5"/>
    <w:rsid w:val="000A52B4"/>
    <w:rsid w:val="00190823"/>
    <w:rsid w:val="001C01BE"/>
    <w:rsid w:val="001F0C17"/>
    <w:rsid w:val="002516E4"/>
    <w:rsid w:val="002A5474"/>
    <w:rsid w:val="002C5CC0"/>
    <w:rsid w:val="002C6D72"/>
    <w:rsid w:val="00315E0C"/>
    <w:rsid w:val="00327FBD"/>
    <w:rsid w:val="0033608A"/>
    <w:rsid w:val="00337364"/>
    <w:rsid w:val="00361DBB"/>
    <w:rsid w:val="003E6878"/>
    <w:rsid w:val="00414A6B"/>
    <w:rsid w:val="004A3080"/>
    <w:rsid w:val="004B221A"/>
    <w:rsid w:val="004D7691"/>
    <w:rsid w:val="00514D4D"/>
    <w:rsid w:val="005435F3"/>
    <w:rsid w:val="00572426"/>
    <w:rsid w:val="00576E74"/>
    <w:rsid w:val="00591FAF"/>
    <w:rsid w:val="00627E18"/>
    <w:rsid w:val="00653C8C"/>
    <w:rsid w:val="00690F26"/>
    <w:rsid w:val="006A621E"/>
    <w:rsid w:val="006B4474"/>
    <w:rsid w:val="006C1AED"/>
    <w:rsid w:val="006E38ED"/>
    <w:rsid w:val="00711E4C"/>
    <w:rsid w:val="00775988"/>
    <w:rsid w:val="00785753"/>
    <w:rsid w:val="00790D12"/>
    <w:rsid w:val="0082315D"/>
    <w:rsid w:val="008B0687"/>
    <w:rsid w:val="009472C6"/>
    <w:rsid w:val="00963CE2"/>
    <w:rsid w:val="009679FD"/>
    <w:rsid w:val="009C1BE9"/>
    <w:rsid w:val="00A63E63"/>
    <w:rsid w:val="00AB06CC"/>
    <w:rsid w:val="00AC1B4F"/>
    <w:rsid w:val="00AD4D59"/>
    <w:rsid w:val="00B00FFB"/>
    <w:rsid w:val="00B3583B"/>
    <w:rsid w:val="00B448DE"/>
    <w:rsid w:val="00BD2B2C"/>
    <w:rsid w:val="00BD57A9"/>
    <w:rsid w:val="00BF1E61"/>
    <w:rsid w:val="00C20D1A"/>
    <w:rsid w:val="00C46F63"/>
    <w:rsid w:val="00C87FAE"/>
    <w:rsid w:val="00CC53C4"/>
    <w:rsid w:val="00CD79A6"/>
    <w:rsid w:val="00CE521D"/>
    <w:rsid w:val="00D02524"/>
    <w:rsid w:val="00D84A35"/>
    <w:rsid w:val="00E31C48"/>
    <w:rsid w:val="00E66ECE"/>
    <w:rsid w:val="00EE6603"/>
    <w:rsid w:val="00F30403"/>
    <w:rsid w:val="00F75AA7"/>
    <w:rsid w:val="00FA2076"/>
    <w:rsid w:val="00FD0E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7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D7691"/>
  </w:style>
  <w:style w:type="character" w:styleId="Textoennegrita">
    <w:name w:val="Strong"/>
    <w:basedOn w:val="Fuentedeprrafopredeter"/>
    <w:uiPriority w:val="22"/>
    <w:qFormat/>
    <w:rsid w:val="004D7691"/>
    <w:rPr>
      <w:b/>
      <w:bCs/>
    </w:rPr>
  </w:style>
</w:styles>
</file>

<file path=word/webSettings.xml><?xml version="1.0" encoding="utf-8"?>
<w:webSettings xmlns:r="http://schemas.openxmlformats.org/officeDocument/2006/relationships" xmlns:w="http://schemas.openxmlformats.org/wordprocessingml/2006/main">
  <w:divs>
    <w:div w:id="17439378">
      <w:bodyDiv w:val="1"/>
      <w:marLeft w:val="0"/>
      <w:marRight w:val="0"/>
      <w:marTop w:val="0"/>
      <w:marBottom w:val="0"/>
      <w:divBdr>
        <w:top w:val="none" w:sz="0" w:space="0" w:color="auto"/>
        <w:left w:val="none" w:sz="0" w:space="0" w:color="auto"/>
        <w:bottom w:val="none" w:sz="0" w:space="0" w:color="auto"/>
        <w:right w:val="none" w:sz="0" w:space="0" w:color="auto"/>
      </w:divBdr>
    </w:div>
    <w:div w:id="564413990">
      <w:bodyDiv w:val="1"/>
      <w:marLeft w:val="0"/>
      <w:marRight w:val="0"/>
      <w:marTop w:val="0"/>
      <w:marBottom w:val="0"/>
      <w:divBdr>
        <w:top w:val="none" w:sz="0" w:space="0" w:color="auto"/>
        <w:left w:val="none" w:sz="0" w:space="0" w:color="auto"/>
        <w:bottom w:val="none" w:sz="0" w:space="0" w:color="auto"/>
        <w:right w:val="none" w:sz="0" w:space="0" w:color="auto"/>
      </w:divBdr>
    </w:div>
    <w:div w:id="632519055">
      <w:bodyDiv w:val="1"/>
      <w:marLeft w:val="0"/>
      <w:marRight w:val="0"/>
      <w:marTop w:val="0"/>
      <w:marBottom w:val="0"/>
      <w:divBdr>
        <w:top w:val="none" w:sz="0" w:space="0" w:color="auto"/>
        <w:left w:val="none" w:sz="0" w:space="0" w:color="auto"/>
        <w:bottom w:val="none" w:sz="0" w:space="0" w:color="auto"/>
        <w:right w:val="none" w:sz="0" w:space="0" w:color="auto"/>
      </w:divBdr>
    </w:div>
    <w:div w:id="787162247">
      <w:bodyDiv w:val="1"/>
      <w:marLeft w:val="0"/>
      <w:marRight w:val="0"/>
      <w:marTop w:val="0"/>
      <w:marBottom w:val="0"/>
      <w:divBdr>
        <w:top w:val="none" w:sz="0" w:space="0" w:color="auto"/>
        <w:left w:val="none" w:sz="0" w:space="0" w:color="auto"/>
        <w:bottom w:val="none" w:sz="0" w:space="0" w:color="auto"/>
        <w:right w:val="none" w:sz="0" w:space="0" w:color="auto"/>
      </w:divBdr>
    </w:div>
    <w:div w:id="814564572">
      <w:bodyDiv w:val="1"/>
      <w:marLeft w:val="0"/>
      <w:marRight w:val="0"/>
      <w:marTop w:val="0"/>
      <w:marBottom w:val="0"/>
      <w:divBdr>
        <w:top w:val="none" w:sz="0" w:space="0" w:color="auto"/>
        <w:left w:val="none" w:sz="0" w:space="0" w:color="auto"/>
        <w:bottom w:val="none" w:sz="0" w:space="0" w:color="auto"/>
        <w:right w:val="none" w:sz="0" w:space="0" w:color="auto"/>
      </w:divBdr>
    </w:div>
    <w:div w:id="1343623315">
      <w:bodyDiv w:val="1"/>
      <w:marLeft w:val="0"/>
      <w:marRight w:val="0"/>
      <w:marTop w:val="0"/>
      <w:marBottom w:val="0"/>
      <w:divBdr>
        <w:top w:val="none" w:sz="0" w:space="0" w:color="auto"/>
        <w:left w:val="none" w:sz="0" w:space="0" w:color="auto"/>
        <w:bottom w:val="none" w:sz="0" w:space="0" w:color="auto"/>
        <w:right w:val="none" w:sz="0" w:space="0" w:color="auto"/>
      </w:divBdr>
    </w:div>
    <w:div w:id="1404840286">
      <w:bodyDiv w:val="1"/>
      <w:marLeft w:val="0"/>
      <w:marRight w:val="0"/>
      <w:marTop w:val="0"/>
      <w:marBottom w:val="0"/>
      <w:divBdr>
        <w:top w:val="none" w:sz="0" w:space="0" w:color="auto"/>
        <w:left w:val="none" w:sz="0" w:space="0" w:color="auto"/>
        <w:bottom w:val="none" w:sz="0" w:space="0" w:color="auto"/>
        <w:right w:val="none" w:sz="0" w:space="0" w:color="auto"/>
      </w:divBdr>
    </w:div>
    <w:div w:id="1509559414">
      <w:bodyDiv w:val="1"/>
      <w:marLeft w:val="0"/>
      <w:marRight w:val="0"/>
      <w:marTop w:val="0"/>
      <w:marBottom w:val="0"/>
      <w:divBdr>
        <w:top w:val="none" w:sz="0" w:space="0" w:color="auto"/>
        <w:left w:val="none" w:sz="0" w:space="0" w:color="auto"/>
        <w:bottom w:val="none" w:sz="0" w:space="0" w:color="auto"/>
        <w:right w:val="none" w:sz="0" w:space="0" w:color="auto"/>
      </w:divBdr>
    </w:div>
    <w:div w:id="16033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9068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2015-04-25T03:58:00Z</dcterms:created>
  <dcterms:modified xsi:type="dcterms:W3CDTF">2015-04-25T03:58:00Z</dcterms:modified>
</cp:coreProperties>
</file>