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ED4" w:rsidRDefault="007B3ED4" w:rsidP="007B3ED4">
      <w:pPr>
        <w:spacing w:line="360" w:lineRule="auto"/>
        <w:rPr>
          <w:rFonts w:ascii="Arial" w:hAnsi="Arial" w:cs="Arial"/>
          <w:sz w:val="24"/>
          <w:szCs w:val="24"/>
        </w:rPr>
      </w:pPr>
    </w:p>
    <w:p w:rsidR="007B3ED4" w:rsidRDefault="007B3ED4" w:rsidP="007B3ED4">
      <w:pPr>
        <w:spacing w:line="360" w:lineRule="auto"/>
        <w:rPr>
          <w:rFonts w:ascii="Arial" w:hAnsi="Arial" w:cs="Arial"/>
          <w:sz w:val="24"/>
          <w:szCs w:val="24"/>
        </w:rPr>
      </w:pPr>
    </w:p>
    <w:p w:rsidR="007B3ED4" w:rsidRPr="007B3ED4" w:rsidRDefault="007B3ED4" w:rsidP="007B3ED4">
      <w:pPr>
        <w:spacing w:line="360" w:lineRule="auto"/>
        <w:rPr>
          <w:rFonts w:ascii="Arial" w:hAnsi="Arial" w:cs="Arial"/>
          <w:sz w:val="24"/>
          <w:szCs w:val="24"/>
        </w:rPr>
      </w:pPr>
    </w:p>
    <w:p w:rsidR="008C05A0" w:rsidRDefault="008C05A0" w:rsidP="008C05A0">
      <w:pPr>
        <w:spacing w:after="0" w:line="360" w:lineRule="auto"/>
        <w:jc w:val="right"/>
        <w:rPr>
          <w:rFonts w:ascii="Arial" w:hAnsi="Arial" w:cs="Arial"/>
          <w:color w:val="000000" w:themeColor="text1"/>
          <w:sz w:val="24"/>
          <w:szCs w:val="24"/>
          <w:lang w:val="es-ES_tradnl"/>
        </w:rPr>
      </w:pPr>
    </w:p>
    <w:p w:rsidR="008C05A0" w:rsidRDefault="008C05A0" w:rsidP="008C05A0">
      <w:pPr>
        <w:spacing w:after="0" w:line="360" w:lineRule="auto"/>
        <w:jc w:val="right"/>
        <w:rPr>
          <w:rFonts w:ascii="Arial" w:hAnsi="Arial" w:cs="Arial"/>
          <w:color w:val="000000" w:themeColor="text1"/>
          <w:sz w:val="24"/>
          <w:szCs w:val="24"/>
          <w:lang w:val="es-ES_tradnl"/>
        </w:rPr>
      </w:pPr>
    </w:p>
    <w:p w:rsidR="008C05A0" w:rsidRDefault="008C05A0" w:rsidP="008C05A0">
      <w:pPr>
        <w:spacing w:after="0" w:line="360" w:lineRule="auto"/>
        <w:jc w:val="right"/>
        <w:rPr>
          <w:rFonts w:ascii="Arial" w:hAnsi="Arial" w:cs="Arial"/>
          <w:color w:val="000000" w:themeColor="text1"/>
          <w:sz w:val="24"/>
          <w:szCs w:val="24"/>
          <w:lang w:val="es-ES_tradnl"/>
        </w:rPr>
      </w:pPr>
    </w:p>
    <w:p w:rsidR="008C05A0" w:rsidRDefault="008C05A0" w:rsidP="008C05A0">
      <w:pPr>
        <w:spacing w:after="0" w:line="360" w:lineRule="auto"/>
        <w:jc w:val="right"/>
        <w:rPr>
          <w:rFonts w:ascii="Arial" w:hAnsi="Arial" w:cs="Arial"/>
          <w:color w:val="000000" w:themeColor="text1"/>
          <w:sz w:val="24"/>
          <w:szCs w:val="24"/>
          <w:lang w:val="es-ES_tradnl"/>
        </w:rPr>
      </w:pPr>
    </w:p>
    <w:p w:rsidR="008C05A0" w:rsidRPr="00984EB0" w:rsidRDefault="00EE2AAC" w:rsidP="00984EB0">
      <w:pPr>
        <w:spacing w:after="0" w:line="360" w:lineRule="auto"/>
        <w:jc w:val="center"/>
        <w:rPr>
          <w:rFonts w:ascii="Arial" w:hAnsi="Arial" w:cs="Arial"/>
          <w:caps/>
          <w:color w:val="000000" w:themeColor="text1"/>
          <w:sz w:val="24"/>
          <w:szCs w:val="24"/>
          <w:lang w:val="es-ES_tradnl"/>
        </w:rPr>
      </w:pPr>
      <w:r w:rsidRPr="00984EB0">
        <w:rPr>
          <w:rFonts w:ascii="Arial" w:hAnsi="Arial" w:cs="Arial"/>
          <w:caps/>
          <w:color w:val="000000" w:themeColor="text1"/>
          <w:sz w:val="24"/>
          <w:szCs w:val="24"/>
          <w:lang w:val="es-ES_tradnl"/>
        </w:rPr>
        <w:t xml:space="preserve">Modelo de Gestión Organizacional </w:t>
      </w:r>
      <w:r w:rsidR="00984EB0">
        <w:rPr>
          <w:rFonts w:ascii="Arial" w:hAnsi="Arial" w:cs="Arial"/>
          <w:caps/>
          <w:color w:val="000000" w:themeColor="text1"/>
          <w:sz w:val="24"/>
          <w:szCs w:val="24"/>
          <w:lang w:val="es-ES_tradnl"/>
        </w:rPr>
        <w:t>a implementar en</w:t>
      </w:r>
      <w:r w:rsidRPr="00984EB0">
        <w:rPr>
          <w:rFonts w:ascii="Arial" w:hAnsi="Arial" w:cs="Arial"/>
          <w:caps/>
          <w:color w:val="000000" w:themeColor="text1"/>
          <w:sz w:val="24"/>
          <w:szCs w:val="24"/>
          <w:lang w:val="es-ES_tradnl"/>
        </w:rPr>
        <w:t xml:space="preserve"> la coordinación de a</w:t>
      </w:r>
      <w:r w:rsidR="00244BE6">
        <w:rPr>
          <w:rFonts w:ascii="Arial" w:hAnsi="Arial" w:cs="Arial"/>
          <w:caps/>
          <w:color w:val="000000" w:themeColor="text1"/>
          <w:sz w:val="24"/>
          <w:szCs w:val="24"/>
          <w:lang w:val="es-ES_tradnl"/>
        </w:rPr>
        <w:t xml:space="preserve">bastecimiento y equipamiento de LA DELEGACIÓN CHIAPAS DEL </w:t>
      </w:r>
      <w:r w:rsidRPr="00984EB0">
        <w:rPr>
          <w:rFonts w:ascii="Arial" w:hAnsi="Arial" w:cs="Arial"/>
          <w:caps/>
          <w:color w:val="000000" w:themeColor="text1"/>
          <w:sz w:val="24"/>
          <w:szCs w:val="24"/>
          <w:lang w:val="es-ES_tradnl"/>
        </w:rPr>
        <w:t>Instituto Mexicano del Seguro Social</w:t>
      </w:r>
      <w:r w:rsidR="00984EB0">
        <w:rPr>
          <w:rFonts w:ascii="Arial" w:hAnsi="Arial" w:cs="Arial"/>
          <w:caps/>
          <w:color w:val="000000" w:themeColor="text1"/>
          <w:sz w:val="24"/>
          <w:szCs w:val="24"/>
          <w:lang w:val="es-ES_tradnl"/>
        </w:rPr>
        <w:t xml:space="preserve"> durante el ejercicio 2016.</w:t>
      </w:r>
    </w:p>
    <w:p w:rsidR="008C05A0" w:rsidRDefault="008C05A0" w:rsidP="008C05A0">
      <w:pPr>
        <w:spacing w:after="0" w:line="360" w:lineRule="auto"/>
        <w:jc w:val="right"/>
        <w:rPr>
          <w:rFonts w:ascii="Arial" w:hAnsi="Arial" w:cs="Arial"/>
          <w:color w:val="000000" w:themeColor="text1"/>
          <w:sz w:val="24"/>
          <w:szCs w:val="24"/>
          <w:lang w:val="es-ES_tradnl"/>
        </w:rPr>
      </w:pPr>
    </w:p>
    <w:p w:rsidR="008C05A0" w:rsidRDefault="008C05A0" w:rsidP="008C05A0">
      <w:pPr>
        <w:spacing w:after="0" w:line="360" w:lineRule="auto"/>
        <w:jc w:val="right"/>
        <w:rPr>
          <w:rFonts w:ascii="Arial" w:hAnsi="Arial" w:cs="Arial"/>
          <w:color w:val="000000" w:themeColor="text1"/>
          <w:sz w:val="24"/>
          <w:szCs w:val="24"/>
          <w:lang w:val="es-ES_tradnl"/>
        </w:rPr>
      </w:pPr>
    </w:p>
    <w:p w:rsidR="008C05A0" w:rsidRDefault="008C05A0" w:rsidP="008C05A0">
      <w:pPr>
        <w:spacing w:after="0" w:line="360" w:lineRule="auto"/>
        <w:jc w:val="right"/>
        <w:rPr>
          <w:rFonts w:ascii="Arial" w:hAnsi="Arial" w:cs="Arial"/>
          <w:color w:val="000000" w:themeColor="text1"/>
          <w:sz w:val="24"/>
          <w:szCs w:val="24"/>
          <w:lang w:val="es-ES_tradnl"/>
        </w:rPr>
      </w:pPr>
    </w:p>
    <w:p w:rsidR="003A277E" w:rsidRDefault="003A277E" w:rsidP="008C05A0">
      <w:pPr>
        <w:spacing w:after="0" w:line="360" w:lineRule="auto"/>
        <w:jc w:val="right"/>
        <w:rPr>
          <w:rFonts w:ascii="Arial" w:hAnsi="Arial" w:cs="Arial"/>
          <w:color w:val="000000" w:themeColor="text1"/>
          <w:sz w:val="24"/>
          <w:szCs w:val="24"/>
          <w:lang w:val="es-ES_tradnl"/>
        </w:rPr>
      </w:pPr>
    </w:p>
    <w:p w:rsidR="003A277E" w:rsidRDefault="003A277E" w:rsidP="008C05A0">
      <w:pPr>
        <w:spacing w:after="0" w:line="360" w:lineRule="auto"/>
        <w:jc w:val="right"/>
        <w:rPr>
          <w:rFonts w:ascii="Arial" w:hAnsi="Arial" w:cs="Arial"/>
          <w:color w:val="000000" w:themeColor="text1"/>
          <w:sz w:val="24"/>
          <w:szCs w:val="24"/>
          <w:lang w:val="es-ES_tradnl"/>
        </w:rPr>
      </w:pPr>
    </w:p>
    <w:p w:rsidR="003A277E" w:rsidRDefault="003A277E" w:rsidP="00E15C72">
      <w:pPr>
        <w:spacing w:after="0" w:line="360" w:lineRule="auto"/>
        <w:rPr>
          <w:rFonts w:ascii="Arial" w:hAnsi="Arial" w:cs="Arial"/>
          <w:color w:val="000000" w:themeColor="text1"/>
          <w:sz w:val="24"/>
          <w:szCs w:val="24"/>
          <w:lang w:val="es-ES_tradnl"/>
        </w:rPr>
      </w:pPr>
    </w:p>
    <w:p w:rsidR="003A277E" w:rsidRDefault="003A277E" w:rsidP="008C05A0">
      <w:pPr>
        <w:spacing w:after="0" w:line="360" w:lineRule="auto"/>
        <w:jc w:val="right"/>
        <w:rPr>
          <w:rFonts w:ascii="Arial" w:hAnsi="Arial" w:cs="Arial"/>
          <w:color w:val="000000" w:themeColor="text1"/>
          <w:sz w:val="24"/>
          <w:szCs w:val="24"/>
          <w:lang w:val="es-ES_tradnl"/>
        </w:rPr>
      </w:pPr>
    </w:p>
    <w:p w:rsidR="003A277E" w:rsidRDefault="003A277E" w:rsidP="008C05A0">
      <w:pPr>
        <w:spacing w:after="0" w:line="360" w:lineRule="auto"/>
        <w:jc w:val="right"/>
        <w:rPr>
          <w:rFonts w:ascii="Arial" w:hAnsi="Arial" w:cs="Arial"/>
          <w:color w:val="000000" w:themeColor="text1"/>
          <w:sz w:val="24"/>
          <w:szCs w:val="24"/>
          <w:lang w:val="es-ES_tradnl"/>
        </w:rPr>
      </w:pPr>
    </w:p>
    <w:p w:rsidR="003A277E" w:rsidRPr="003A277E" w:rsidRDefault="003A277E" w:rsidP="008C05A0">
      <w:pPr>
        <w:spacing w:after="0" w:line="360" w:lineRule="auto"/>
        <w:jc w:val="right"/>
        <w:rPr>
          <w:rFonts w:ascii="Arial" w:hAnsi="Arial" w:cs="Arial"/>
          <w:b/>
          <w:color w:val="000000" w:themeColor="text1"/>
          <w:sz w:val="24"/>
          <w:szCs w:val="24"/>
          <w:lang w:val="es-ES_tradnl"/>
        </w:rPr>
      </w:pPr>
      <w:r w:rsidRPr="003A277E">
        <w:rPr>
          <w:rFonts w:ascii="Arial" w:hAnsi="Arial" w:cs="Arial"/>
          <w:b/>
          <w:color w:val="000000" w:themeColor="text1"/>
          <w:sz w:val="24"/>
          <w:szCs w:val="24"/>
          <w:lang w:val="es-ES_tradnl"/>
        </w:rPr>
        <w:t>Nombre de los alumnos:</w:t>
      </w:r>
    </w:p>
    <w:p w:rsidR="008C05A0" w:rsidRPr="008C05A0" w:rsidRDefault="008C05A0" w:rsidP="008C05A0">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 xml:space="preserve">avid E. León </w:t>
      </w:r>
      <w:r w:rsidRPr="008C05A0">
        <w:rPr>
          <w:rFonts w:ascii="Arial" w:hAnsi="Arial" w:cs="Arial"/>
          <w:color w:val="000000" w:themeColor="text1"/>
          <w:sz w:val="24"/>
          <w:szCs w:val="24"/>
          <w:lang w:val="es-ES_tradnl"/>
        </w:rPr>
        <w:t>R</w:t>
      </w:r>
      <w:r>
        <w:rPr>
          <w:rFonts w:ascii="Arial" w:hAnsi="Arial" w:cs="Arial"/>
          <w:color w:val="000000" w:themeColor="text1"/>
          <w:sz w:val="24"/>
          <w:szCs w:val="24"/>
          <w:lang w:val="es-ES_tradnl"/>
        </w:rPr>
        <w:t>omero</w:t>
      </w:r>
    </w:p>
    <w:p w:rsidR="008C05A0" w:rsidRPr="008C05A0" w:rsidRDefault="008C05A0" w:rsidP="008C05A0">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D</w:t>
      </w:r>
      <w:r>
        <w:rPr>
          <w:rFonts w:ascii="Arial" w:hAnsi="Arial" w:cs="Arial"/>
          <w:color w:val="000000" w:themeColor="text1"/>
          <w:sz w:val="24"/>
          <w:szCs w:val="24"/>
          <w:lang w:val="es-ES_tradnl"/>
        </w:rPr>
        <w:t>iego Alberto Mancilla Ramírez</w:t>
      </w:r>
    </w:p>
    <w:p w:rsidR="008C05A0" w:rsidRDefault="008C05A0" w:rsidP="008C05A0">
      <w:pPr>
        <w:spacing w:after="0" w:line="360" w:lineRule="auto"/>
        <w:jc w:val="right"/>
        <w:rPr>
          <w:rFonts w:ascii="Arial" w:hAnsi="Arial" w:cs="Arial"/>
          <w:color w:val="000000" w:themeColor="text1"/>
          <w:sz w:val="24"/>
          <w:szCs w:val="24"/>
          <w:lang w:val="es-ES_tradnl"/>
        </w:rPr>
      </w:pPr>
      <w:r w:rsidRPr="008C05A0">
        <w:rPr>
          <w:rFonts w:ascii="Arial" w:hAnsi="Arial" w:cs="Arial"/>
          <w:color w:val="000000" w:themeColor="text1"/>
          <w:sz w:val="24"/>
          <w:szCs w:val="24"/>
          <w:lang w:val="es-ES_tradnl"/>
        </w:rPr>
        <w:t>G</w:t>
      </w:r>
      <w:r>
        <w:rPr>
          <w:rFonts w:ascii="Arial" w:hAnsi="Arial" w:cs="Arial"/>
          <w:color w:val="000000" w:themeColor="text1"/>
          <w:sz w:val="24"/>
          <w:szCs w:val="24"/>
          <w:lang w:val="es-ES_tradnl"/>
        </w:rPr>
        <w:t>uadalupe Morales Marín</w:t>
      </w:r>
    </w:p>
    <w:p w:rsidR="003A277E" w:rsidRDefault="003A277E" w:rsidP="003A277E">
      <w:pPr>
        <w:spacing w:line="360" w:lineRule="auto"/>
        <w:jc w:val="right"/>
        <w:rPr>
          <w:rFonts w:ascii="Arial" w:hAnsi="Arial" w:cs="Arial"/>
          <w:b/>
          <w:sz w:val="24"/>
          <w:szCs w:val="24"/>
          <w:lang w:val="es-ES_tradnl"/>
        </w:rPr>
      </w:pPr>
    </w:p>
    <w:p w:rsidR="007B3ED4" w:rsidRPr="003A277E" w:rsidRDefault="003A277E" w:rsidP="003A277E">
      <w:pPr>
        <w:spacing w:after="0" w:line="360" w:lineRule="auto"/>
        <w:jc w:val="right"/>
        <w:rPr>
          <w:rFonts w:ascii="Arial" w:hAnsi="Arial" w:cs="Arial"/>
          <w:b/>
          <w:sz w:val="24"/>
          <w:szCs w:val="24"/>
          <w:lang w:val="es-ES_tradnl"/>
        </w:rPr>
      </w:pPr>
      <w:r w:rsidRPr="003A277E">
        <w:rPr>
          <w:rFonts w:ascii="Arial" w:hAnsi="Arial" w:cs="Arial"/>
          <w:b/>
          <w:sz w:val="24"/>
          <w:szCs w:val="24"/>
          <w:lang w:val="es-ES_tradnl"/>
        </w:rPr>
        <w:t xml:space="preserve">Nombre del docente: </w:t>
      </w:r>
    </w:p>
    <w:p w:rsidR="003A277E" w:rsidRDefault="003A277E" w:rsidP="003A277E">
      <w:pPr>
        <w:spacing w:after="0" w:line="360" w:lineRule="auto"/>
        <w:jc w:val="right"/>
        <w:rPr>
          <w:rFonts w:ascii="Arial" w:hAnsi="Arial" w:cs="Arial"/>
          <w:sz w:val="24"/>
          <w:szCs w:val="24"/>
          <w:lang w:val="es-ES_tradnl"/>
        </w:rPr>
      </w:pPr>
      <w:r>
        <w:rPr>
          <w:rFonts w:ascii="Arial" w:hAnsi="Arial" w:cs="Arial"/>
          <w:sz w:val="24"/>
          <w:szCs w:val="24"/>
          <w:lang w:val="es-ES_tradnl"/>
        </w:rPr>
        <w:t xml:space="preserve">Mtro. Héctor Gabriel García Guillén </w:t>
      </w:r>
    </w:p>
    <w:p w:rsidR="003A277E" w:rsidRDefault="003A277E" w:rsidP="003A277E">
      <w:pPr>
        <w:spacing w:after="0" w:line="360" w:lineRule="auto"/>
        <w:jc w:val="right"/>
        <w:rPr>
          <w:rFonts w:ascii="Arial" w:hAnsi="Arial" w:cs="Arial"/>
          <w:sz w:val="24"/>
          <w:szCs w:val="24"/>
          <w:lang w:val="es-ES_tradnl"/>
        </w:rPr>
      </w:pPr>
    </w:p>
    <w:p w:rsidR="003A277E" w:rsidRDefault="003A277E" w:rsidP="00984EB0">
      <w:pPr>
        <w:spacing w:after="0" w:line="360" w:lineRule="auto"/>
        <w:rPr>
          <w:rFonts w:ascii="Arial" w:hAnsi="Arial" w:cs="Arial"/>
          <w:sz w:val="24"/>
          <w:szCs w:val="24"/>
          <w:lang w:val="es-ES_tradnl"/>
        </w:rPr>
      </w:pPr>
    </w:p>
    <w:p w:rsidR="003A277E" w:rsidRDefault="003A277E" w:rsidP="003A277E">
      <w:pPr>
        <w:spacing w:after="0" w:line="360" w:lineRule="auto"/>
        <w:jc w:val="right"/>
        <w:rPr>
          <w:rFonts w:ascii="Arial" w:hAnsi="Arial" w:cs="Arial"/>
          <w:sz w:val="24"/>
          <w:szCs w:val="24"/>
          <w:lang w:val="es-ES_tradnl"/>
        </w:rPr>
      </w:pPr>
      <w:r>
        <w:rPr>
          <w:rFonts w:ascii="Arial" w:hAnsi="Arial" w:cs="Arial"/>
          <w:sz w:val="24"/>
          <w:szCs w:val="24"/>
          <w:lang w:val="es-ES_tradnl"/>
        </w:rPr>
        <w:t>Tuxtla  Gutiérrez, Chiapas;</w:t>
      </w:r>
    </w:p>
    <w:p w:rsidR="003A277E" w:rsidRPr="003B231C" w:rsidRDefault="003B231C" w:rsidP="003B231C">
      <w:pPr>
        <w:pStyle w:val="Prrafodelista"/>
        <w:numPr>
          <w:ilvl w:val="0"/>
          <w:numId w:val="2"/>
        </w:numPr>
        <w:spacing w:line="360" w:lineRule="auto"/>
        <w:jc w:val="right"/>
        <w:rPr>
          <w:rFonts w:ascii="Arial" w:hAnsi="Arial" w:cs="Arial"/>
          <w:lang w:val="es-ES_tradnl"/>
        </w:rPr>
      </w:pPr>
      <w:r>
        <w:rPr>
          <w:rFonts w:ascii="Arial" w:hAnsi="Arial" w:cs="Arial"/>
          <w:lang w:val="es-ES_tradnl"/>
        </w:rPr>
        <w:t>d</w:t>
      </w:r>
      <w:r w:rsidR="003A277E" w:rsidRPr="003B231C">
        <w:rPr>
          <w:rFonts w:ascii="Arial" w:hAnsi="Arial" w:cs="Arial"/>
          <w:lang w:val="es-ES_tradnl"/>
        </w:rPr>
        <w:t>e Agosto de 2015</w:t>
      </w:r>
    </w:p>
    <w:p w:rsidR="00E15C72" w:rsidRPr="003B231C" w:rsidRDefault="00E15C72" w:rsidP="003A277E">
      <w:pPr>
        <w:spacing w:after="0" w:line="360" w:lineRule="auto"/>
        <w:jc w:val="right"/>
        <w:rPr>
          <w:rFonts w:ascii="Arial" w:hAnsi="Arial" w:cs="Arial"/>
          <w:sz w:val="24"/>
          <w:szCs w:val="24"/>
          <w:lang w:val="es-ES_tradnl"/>
        </w:rPr>
      </w:pPr>
    </w:p>
    <w:p w:rsidR="00E15C72" w:rsidRPr="003B231C" w:rsidRDefault="00E15C72" w:rsidP="003B231C">
      <w:pPr>
        <w:spacing w:line="360" w:lineRule="auto"/>
        <w:ind w:firstLine="360"/>
        <w:jc w:val="both"/>
        <w:rPr>
          <w:rFonts w:ascii="Arial" w:hAnsi="Arial" w:cs="Arial"/>
          <w:b/>
          <w:color w:val="000000" w:themeColor="text1"/>
          <w:sz w:val="28"/>
          <w:szCs w:val="28"/>
          <w:lang w:val="es-ES_tradnl"/>
        </w:rPr>
      </w:pPr>
      <w:r w:rsidRPr="003B231C">
        <w:rPr>
          <w:rFonts w:ascii="Arial" w:hAnsi="Arial" w:cs="Arial"/>
          <w:b/>
          <w:color w:val="000000" w:themeColor="text1"/>
          <w:sz w:val="28"/>
          <w:szCs w:val="28"/>
          <w:lang w:val="es-ES_tradnl"/>
        </w:rPr>
        <w:t>Marco de referencia:</w:t>
      </w:r>
    </w:p>
    <w:p w:rsidR="00FA659D" w:rsidRDefault="00E15C72" w:rsidP="003B231C">
      <w:pPr>
        <w:spacing w:after="0" w:line="360" w:lineRule="auto"/>
        <w:ind w:left="360"/>
        <w:jc w:val="both"/>
        <w:rPr>
          <w:rFonts w:ascii="Arial" w:hAnsi="Arial" w:cs="Arial"/>
          <w:color w:val="000000" w:themeColor="text1"/>
          <w:sz w:val="24"/>
          <w:szCs w:val="24"/>
          <w:lang w:val="es-ES_tradnl"/>
        </w:rPr>
      </w:pPr>
      <w:r w:rsidRPr="00557FB5">
        <w:rPr>
          <w:rFonts w:ascii="Arial" w:hAnsi="Arial" w:cs="Arial"/>
          <w:color w:val="000000" w:themeColor="text1"/>
          <w:sz w:val="24"/>
          <w:szCs w:val="24"/>
          <w:lang w:val="es-ES_tradnl"/>
        </w:rPr>
        <w:t xml:space="preserve">El Instituto Mexicano del Seguro Social tiene un mandato legal derivado del Artículo 123 de la Constitución Política de los Estados Unidos Mexicanos. Su misión es ser el instrumento básico de la seguridad social, establecido como un servicio público de carácter nacional, para todos los trabajadores y sus familias. Es decir, el aumento en la cobertura de la población se persigue como un mandato constitucional, con un sentido social. </w:t>
      </w:r>
    </w:p>
    <w:p w:rsidR="00FA659D" w:rsidRDefault="00FA659D" w:rsidP="003B231C">
      <w:pPr>
        <w:spacing w:after="0" w:line="360" w:lineRule="auto"/>
        <w:ind w:left="360"/>
        <w:jc w:val="both"/>
        <w:rPr>
          <w:rFonts w:ascii="Arial" w:hAnsi="Arial" w:cs="Arial"/>
          <w:color w:val="000000" w:themeColor="text1"/>
          <w:sz w:val="24"/>
          <w:szCs w:val="24"/>
          <w:lang w:val="es-ES_tradnl"/>
        </w:rPr>
      </w:pPr>
    </w:p>
    <w:p w:rsidR="00FA659D" w:rsidRPr="00FA659D" w:rsidRDefault="00E15C72" w:rsidP="003B231C">
      <w:pPr>
        <w:spacing w:after="0" w:line="360" w:lineRule="auto"/>
        <w:ind w:left="360"/>
        <w:jc w:val="both"/>
        <w:rPr>
          <w:rFonts w:ascii="Arial" w:hAnsi="Arial" w:cs="Arial"/>
          <w:b/>
          <w:color w:val="000000" w:themeColor="text1"/>
          <w:sz w:val="24"/>
          <w:szCs w:val="24"/>
          <w:lang w:val="es-ES_tradnl"/>
        </w:rPr>
      </w:pPr>
      <w:r w:rsidRPr="00FA659D">
        <w:rPr>
          <w:rFonts w:ascii="Arial" w:hAnsi="Arial" w:cs="Arial"/>
          <w:b/>
          <w:color w:val="000000" w:themeColor="text1"/>
          <w:sz w:val="24"/>
          <w:szCs w:val="24"/>
          <w:lang w:val="es-ES_tradnl"/>
        </w:rPr>
        <w:t xml:space="preserve">Artículo 2 de la Ley del Seguro Social (LSS) </w:t>
      </w:r>
    </w:p>
    <w:p w:rsidR="00E15C72" w:rsidRDefault="00FA659D" w:rsidP="003B231C">
      <w:pPr>
        <w:spacing w:after="0" w:line="360" w:lineRule="auto"/>
        <w:ind w:left="360"/>
        <w:jc w:val="both"/>
        <w:rPr>
          <w:rFonts w:ascii="Arial" w:hAnsi="Arial" w:cs="Arial"/>
          <w:color w:val="000000" w:themeColor="text1"/>
          <w:sz w:val="24"/>
          <w:szCs w:val="24"/>
          <w:lang w:val="es-ES_tradnl"/>
        </w:rPr>
      </w:pPr>
      <w:r>
        <w:rPr>
          <w:rFonts w:ascii="Arial" w:hAnsi="Arial" w:cs="Arial"/>
          <w:color w:val="000000" w:themeColor="text1"/>
          <w:sz w:val="24"/>
          <w:szCs w:val="24"/>
          <w:lang w:val="es-ES_tradnl"/>
        </w:rPr>
        <w:t>“E</w:t>
      </w:r>
      <w:r w:rsidR="00E15C72" w:rsidRPr="00557FB5">
        <w:rPr>
          <w:rFonts w:ascii="Arial" w:hAnsi="Arial" w:cs="Arial"/>
          <w:color w:val="000000" w:themeColor="text1"/>
          <w:sz w:val="24"/>
          <w:szCs w:val="24"/>
          <w:lang w:val="es-ES_tradnl"/>
        </w:rPr>
        <w:t>stablece que la seguridad social tiene por finalidad garantizar el derecho a la salud, la asistencia médica, la protección de los medios de subsistencia y los servicios sociales necesarios para el bienestar individual y colectivo, así como el otorgamiento de una pensión que, en su caso y previo cumplimiento de los requisitos legales, será garantizada por el Estado</w:t>
      </w:r>
      <w:r>
        <w:rPr>
          <w:rFonts w:ascii="Arial" w:hAnsi="Arial" w:cs="Arial"/>
          <w:color w:val="000000" w:themeColor="text1"/>
          <w:sz w:val="24"/>
          <w:szCs w:val="24"/>
          <w:lang w:val="es-ES_tradnl"/>
        </w:rPr>
        <w:t>”</w:t>
      </w:r>
      <w:r w:rsidR="00E15C72" w:rsidRPr="00557FB5">
        <w:rPr>
          <w:rFonts w:ascii="Arial" w:hAnsi="Arial" w:cs="Arial"/>
          <w:color w:val="000000" w:themeColor="text1"/>
          <w:sz w:val="24"/>
          <w:szCs w:val="24"/>
          <w:lang w:val="es-ES_tradnl"/>
        </w:rPr>
        <w:t>.</w:t>
      </w:r>
      <w:r w:rsidR="00E15C72" w:rsidRPr="00557FB5">
        <w:rPr>
          <w:rStyle w:val="Refdenotaalpie"/>
          <w:rFonts w:ascii="Arial" w:hAnsi="Arial" w:cs="Arial"/>
          <w:color w:val="000000" w:themeColor="text1"/>
          <w:sz w:val="24"/>
          <w:szCs w:val="24"/>
          <w:lang w:val="es-ES_tradnl"/>
        </w:rPr>
        <w:footnoteReference w:id="1"/>
      </w:r>
    </w:p>
    <w:p w:rsidR="003B231C" w:rsidRPr="00557FB5" w:rsidRDefault="003B231C" w:rsidP="003B231C">
      <w:pPr>
        <w:spacing w:after="0" w:line="360" w:lineRule="auto"/>
        <w:ind w:left="360"/>
        <w:jc w:val="both"/>
        <w:rPr>
          <w:rFonts w:ascii="Arial" w:hAnsi="Arial" w:cs="Arial"/>
          <w:color w:val="000000" w:themeColor="text1"/>
          <w:sz w:val="24"/>
          <w:szCs w:val="24"/>
          <w:lang w:val="es-ES_tradnl"/>
        </w:rPr>
      </w:pPr>
    </w:p>
    <w:p w:rsidR="00E15C72" w:rsidRPr="00557FB5" w:rsidRDefault="00E15C72" w:rsidP="003B231C">
      <w:pPr>
        <w:spacing w:after="0" w:line="360" w:lineRule="auto"/>
        <w:ind w:left="360"/>
        <w:jc w:val="both"/>
        <w:rPr>
          <w:rFonts w:ascii="Arial" w:hAnsi="Arial" w:cs="Arial"/>
          <w:color w:val="000000" w:themeColor="text1"/>
          <w:sz w:val="24"/>
          <w:szCs w:val="24"/>
          <w:lang w:val="es-ES_tradnl"/>
        </w:rPr>
      </w:pPr>
      <w:r w:rsidRPr="00557FB5">
        <w:rPr>
          <w:rFonts w:ascii="Arial" w:hAnsi="Arial" w:cs="Arial"/>
          <w:bCs/>
          <w:color w:val="000000" w:themeColor="text1"/>
          <w:sz w:val="24"/>
          <w:szCs w:val="24"/>
          <w:lang w:val="es-ES_tradnl"/>
        </w:rPr>
        <w:t>Como institución administradora de riesgos</w:t>
      </w:r>
      <w:r w:rsidRPr="00557FB5">
        <w:rPr>
          <w:rFonts w:ascii="Arial" w:hAnsi="Arial" w:cs="Arial"/>
          <w:color w:val="000000" w:themeColor="text1"/>
          <w:sz w:val="24"/>
          <w:szCs w:val="24"/>
          <w:lang w:val="es-ES_tradnl"/>
        </w:rPr>
        <w:t xml:space="preserve">, administra los distintos ramos de seguro que </w:t>
      </w:r>
      <w:r w:rsidR="009A6D89" w:rsidRPr="00557FB5">
        <w:rPr>
          <w:rFonts w:ascii="Arial" w:hAnsi="Arial" w:cs="Arial"/>
          <w:color w:val="000000" w:themeColor="text1"/>
          <w:sz w:val="24"/>
          <w:szCs w:val="24"/>
          <w:lang w:val="es-ES_tradnl"/>
        </w:rPr>
        <w:t>prev</w:t>
      </w:r>
      <w:r w:rsidR="009A6D89">
        <w:rPr>
          <w:rFonts w:ascii="Arial" w:hAnsi="Arial" w:cs="Arial"/>
          <w:color w:val="000000" w:themeColor="text1"/>
          <w:sz w:val="24"/>
          <w:szCs w:val="24"/>
          <w:lang w:val="es-ES_tradnl"/>
        </w:rPr>
        <w:t>é</w:t>
      </w:r>
      <w:r w:rsidRPr="00557FB5">
        <w:rPr>
          <w:rFonts w:ascii="Arial" w:hAnsi="Arial" w:cs="Arial"/>
          <w:color w:val="000000" w:themeColor="text1"/>
          <w:sz w:val="24"/>
          <w:szCs w:val="24"/>
          <w:lang w:val="es-ES_tradnl"/>
        </w:rPr>
        <w:t xml:space="preserve"> la LSS, requiriendo de una adecuada gestión de las contribuciones y los recursos financieros para proporcionar las prestaciones en especie y en dinero; y en su carácter de organismo fiscal autónomo conducirá una recaudación eficaz logrando la transparencia y el control en la información que genera.</w:t>
      </w:r>
      <w:r w:rsidRPr="00557FB5">
        <w:rPr>
          <w:rStyle w:val="Refdenotaalpie"/>
          <w:rFonts w:ascii="Arial" w:hAnsi="Arial" w:cs="Arial"/>
          <w:color w:val="000000" w:themeColor="text1"/>
          <w:sz w:val="24"/>
          <w:szCs w:val="24"/>
          <w:lang w:val="es-ES_tradnl"/>
        </w:rPr>
        <w:footnoteReference w:id="2"/>
      </w:r>
    </w:p>
    <w:p w:rsidR="00E15C72" w:rsidRPr="00557FB5" w:rsidRDefault="00E15C72" w:rsidP="003B231C">
      <w:pPr>
        <w:spacing w:after="0" w:line="360" w:lineRule="auto"/>
        <w:ind w:left="360"/>
        <w:jc w:val="both"/>
        <w:rPr>
          <w:rFonts w:ascii="Arial" w:hAnsi="Arial" w:cs="Arial"/>
          <w:color w:val="000000" w:themeColor="text1"/>
          <w:sz w:val="24"/>
          <w:szCs w:val="24"/>
          <w:lang w:val="es-ES_tradnl"/>
        </w:rPr>
      </w:pPr>
    </w:p>
    <w:p w:rsidR="00E15C72" w:rsidRPr="00557FB5" w:rsidRDefault="00E15C72" w:rsidP="003B231C">
      <w:pPr>
        <w:spacing w:after="0" w:line="360" w:lineRule="auto"/>
        <w:ind w:left="360"/>
        <w:jc w:val="both"/>
        <w:rPr>
          <w:rFonts w:ascii="Arial" w:hAnsi="Arial" w:cs="Arial"/>
          <w:color w:val="000000" w:themeColor="text1"/>
          <w:sz w:val="24"/>
          <w:szCs w:val="24"/>
          <w:lang w:val="es-ES_tradnl"/>
        </w:rPr>
      </w:pPr>
      <w:r w:rsidRPr="00557FB5">
        <w:rPr>
          <w:rFonts w:ascii="Arial" w:hAnsi="Arial" w:cs="Arial"/>
          <w:bCs/>
          <w:color w:val="000000" w:themeColor="text1"/>
          <w:sz w:val="24"/>
          <w:szCs w:val="24"/>
          <w:lang w:val="es-ES_tradnl"/>
        </w:rPr>
        <w:t>Como entidad prestadora de servicios,</w:t>
      </w:r>
      <w:r w:rsidRPr="00557FB5">
        <w:rPr>
          <w:rFonts w:ascii="Arial" w:hAnsi="Arial" w:cs="Arial"/>
          <w:color w:val="000000" w:themeColor="text1"/>
          <w:sz w:val="24"/>
          <w:szCs w:val="24"/>
          <w:lang w:val="es-ES_tradnl"/>
        </w:rPr>
        <w:t xml:space="preserve"> fomenta la salud de la población trabajadora asegurada y de sus familias, de los pensionados y de los estudiantes de manera integral, a través de la provisión de servicios preventivos y curativos médicos, de guarderías y de prestaciones económicas y sociales</w:t>
      </w:r>
      <w:r w:rsidRPr="00557FB5">
        <w:rPr>
          <w:rStyle w:val="Refdenotaalpie"/>
          <w:rFonts w:ascii="Arial" w:hAnsi="Arial" w:cs="Arial"/>
          <w:color w:val="000000" w:themeColor="text1"/>
          <w:sz w:val="24"/>
          <w:szCs w:val="24"/>
          <w:lang w:val="es-ES_tradnl"/>
        </w:rPr>
        <w:footnoteReference w:id="3"/>
      </w:r>
      <w:r w:rsidRPr="00557FB5">
        <w:rPr>
          <w:rFonts w:ascii="Arial" w:hAnsi="Arial" w:cs="Arial"/>
          <w:color w:val="000000" w:themeColor="text1"/>
          <w:sz w:val="24"/>
          <w:szCs w:val="24"/>
          <w:lang w:val="es-ES_tradnl"/>
        </w:rPr>
        <w:t>.</w:t>
      </w:r>
    </w:p>
    <w:p w:rsidR="00E15C72" w:rsidRPr="00557FB5" w:rsidRDefault="00E15C72" w:rsidP="003B231C">
      <w:pPr>
        <w:spacing w:after="0" w:line="360" w:lineRule="auto"/>
        <w:ind w:left="360"/>
        <w:jc w:val="both"/>
        <w:rPr>
          <w:rFonts w:ascii="Arial" w:hAnsi="Arial" w:cs="Arial"/>
          <w:sz w:val="24"/>
          <w:szCs w:val="24"/>
          <w:lang w:val="es-ES_tradnl"/>
        </w:rPr>
      </w:pPr>
    </w:p>
    <w:p w:rsidR="00B8477F" w:rsidRDefault="00B8477F" w:rsidP="00B8477F">
      <w:pPr>
        <w:pStyle w:val="Prrafodelista"/>
        <w:spacing w:line="360" w:lineRule="auto"/>
        <w:ind w:left="644"/>
        <w:contextualSpacing w:val="0"/>
        <w:jc w:val="both"/>
        <w:rPr>
          <w:rFonts w:ascii="Arial" w:hAnsi="Arial" w:cs="Arial"/>
          <w:sz w:val="28"/>
          <w:szCs w:val="28"/>
          <w:lang w:val="es-ES_tradnl"/>
        </w:rPr>
      </w:pPr>
      <w:r>
        <w:rPr>
          <w:rFonts w:ascii="Arial" w:hAnsi="Arial" w:cs="Arial"/>
          <w:sz w:val="28"/>
          <w:szCs w:val="28"/>
          <w:lang w:val="es-ES_tradnl"/>
        </w:rPr>
        <w:lastRenderedPageBreak/>
        <w:t>Filosofía institucional:</w:t>
      </w:r>
    </w:p>
    <w:p w:rsidR="00E15C72" w:rsidRPr="00B8477F" w:rsidRDefault="00E15C72" w:rsidP="00B8477F">
      <w:pPr>
        <w:pStyle w:val="Prrafodelista"/>
        <w:spacing w:line="360" w:lineRule="auto"/>
        <w:ind w:left="644"/>
        <w:contextualSpacing w:val="0"/>
        <w:jc w:val="both"/>
        <w:rPr>
          <w:rFonts w:ascii="Arial" w:hAnsi="Arial" w:cs="Arial"/>
          <w:lang w:val="es-ES_tradnl"/>
        </w:rPr>
      </w:pPr>
      <w:r w:rsidRPr="00B8477F">
        <w:rPr>
          <w:rFonts w:ascii="Arial" w:hAnsi="Arial" w:cs="Arial"/>
          <w:color w:val="000000" w:themeColor="text1"/>
          <w:lang w:val="es-ES_tradnl"/>
        </w:rPr>
        <w:t>Misión: La misión del IMSS es ser el instrumento básico de la seguridad social, establecido como un servicio público de carácter nacional, para todos los trabajadores y sus familias</w:t>
      </w:r>
      <w:r w:rsidRPr="00B8477F">
        <w:rPr>
          <w:rStyle w:val="Refdenotaalpie"/>
          <w:rFonts w:ascii="Arial" w:hAnsi="Arial" w:cs="Arial"/>
          <w:color w:val="000000" w:themeColor="text1"/>
          <w:lang w:val="es-ES_tradnl"/>
        </w:rPr>
        <w:footnoteReference w:id="4"/>
      </w:r>
      <w:r w:rsidRPr="00B8477F">
        <w:rPr>
          <w:rFonts w:ascii="Arial" w:hAnsi="Arial" w:cs="Arial"/>
          <w:color w:val="000000" w:themeColor="text1"/>
          <w:lang w:val="es-ES_tradnl"/>
        </w:rPr>
        <w:t>.</w:t>
      </w:r>
    </w:p>
    <w:p w:rsidR="00B8477F" w:rsidRPr="00B8477F" w:rsidRDefault="00E15C72" w:rsidP="00B8477F">
      <w:pPr>
        <w:spacing w:after="0" w:line="360" w:lineRule="auto"/>
        <w:ind w:firstLine="644"/>
        <w:jc w:val="both"/>
        <w:rPr>
          <w:rFonts w:ascii="Arial" w:hAnsi="Arial" w:cs="Arial"/>
          <w:sz w:val="24"/>
          <w:szCs w:val="24"/>
          <w:lang w:val="es-ES_tradnl"/>
        </w:rPr>
      </w:pPr>
      <w:r w:rsidRPr="00B8477F">
        <w:rPr>
          <w:rFonts w:ascii="Arial" w:hAnsi="Arial" w:cs="Arial"/>
          <w:sz w:val="24"/>
          <w:szCs w:val="24"/>
          <w:lang w:val="es-ES_tradnl"/>
        </w:rPr>
        <w:t>Visión: No publicada.</w:t>
      </w:r>
    </w:p>
    <w:p w:rsidR="00E15C72" w:rsidRPr="00B8477F" w:rsidRDefault="00E15C72" w:rsidP="00B8477F">
      <w:pPr>
        <w:spacing w:after="0" w:line="360" w:lineRule="auto"/>
        <w:ind w:left="644"/>
        <w:jc w:val="both"/>
        <w:rPr>
          <w:rFonts w:ascii="Arial" w:hAnsi="Arial" w:cs="Arial"/>
          <w:sz w:val="24"/>
          <w:szCs w:val="24"/>
          <w:lang w:val="es-ES_tradnl"/>
        </w:rPr>
      </w:pPr>
      <w:r w:rsidRPr="00B8477F">
        <w:rPr>
          <w:rFonts w:ascii="Arial" w:hAnsi="Arial" w:cs="Arial"/>
          <w:sz w:val="24"/>
          <w:szCs w:val="24"/>
          <w:lang w:val="es-ES_tradnl"/>
        </w:rPr>
        <w:t xml:space="preserve">Valores: </w:t>
      </w:r>
      <w:r w:rsidR="008F4D71" w:rsidRPr="00574135">
        <w:rPr>
          <w:rFonts w:ascii="Arial" w:hAnsi="Arial" w:cs="Arial"/>
          <w:sz w:val="24"/>
          <w:szCs w:val="24"/>
          <w:lang w:val="es-ES_tradnl"/>
        </w:rPr>
        <w:t>S</w:t>
      </w:r>
      <w:r w:rsidRPr="00574135">
        <w:rPr>
          <w:rFonts w:ascii="Arial" w:hAnsi="Arial" w:cs="Arial"/>
          <w:sz w:val="24"/>
          <w:szCs w:val="24"/>
          <w:lang w:val="es-ES_tradnl"/>
        </w:rPr>
        <w:t xml:space="preserve">e enlistan aquellos contenidos en el Código de </w:t>
      </w:r>
      <w:r w:rsidR="00B8477F" w:rsidRPr="00574135">
        <w:rPr>
          <w:rFonts w:ascii="Arial" w:hAnsi="Arial" w:cs="Arial"/>
          <w:sz w:val="24"/>
          <w:szCs w:val="24"/>
          <w:lang w:val="es-ES_tradnl"/>
        </w:rPr>
        <w:t>ética</w:t>
      </w:r>
      <w:r w:rsidRPr="00574135">
        <w:rPr>
          <w:rFonts w:ascii="Arial" w:hAnsi="Arial" w:cs="Arial"/>
          <w:sz w:val="24"/>
          <w:szCs w:val="24"/>
          <w:lang w:val="es-ES_tradnl"/>
        </w:rPr>
        <w:t xml:space="preserve"> de los Servidores Públicos </w:t>
      </w:r>
      <w:r w:rsidR="008F4D71" w:rsidRPr="00574135">
        <w:rPr>
          <w:rFonts w:ascii="Arial" w:hAnsi="Arial" w:cs="Arial"/>
          <w:sz w:val="24"/>
          <w:szCs w:val="24"/>
          <w:lang w:val="es-ES_tradnl"/>
        </w:rPr>
        <w:t>del Instituto Mexicano del Seguro Social.</w:t>
      </w:r>
      <w:r w:rsidRPr="00574135">
        <w:rPr>
          <w:rStyle w:val="Refdenotaalpie"/>
          <w:rFonts w:ascii="Arial" w:hAnsi="Arial" w:cs="Arial"/>
          <w:sz w:val="24"/>
          <w:szCs w:val="24"/>
          <w:lang w:val="es-ES_tradnl"/>
        </w:rPr>
        <w:footnoteReference w:id="5"/>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Bien Común:</w:t>
      </w:r>
    </w:p>
    <w:p w:rsidR="00E15C72"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Integridad:</w:t>
      </w:r>
    </w:p>
    <w:p w:rsidR="008F4D71" w:rsidRPr="00557FB5" w:rsidRDefault="008F4D71" w:rsidP="003B231C">
      <w:pPr>
        <w:pStyle w:val="Prrafodelista"/>
        <w:numPr>
          <w:ilvl w:val="2"/>
          <w:numId w:val="1"/>
        </w:numPr>
        <w:spacing w:line="360" w:lineRule="auto"/>
        <w:jc w:val="both"/>
        <w:rPr>
          <w:rFonts w:ascii="Arial" w:hAnsi="Arial" w:cs="Arial"/>
          <w:lang w:val="es-ES_tradnl"/>
        </w:rPr>
      </w:pPr>
      <w:r>
        <w:rPr>
          <w:rFonts w:ascii="Arial" w:hAnsi="Arial" w:cs="Arial"/>
          <w:lang w:val="es-ES_tradnl"/>
        </w:rPr>
        <w:t>Honestidad</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Honradez:</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Imparcialidad:</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Justicia:</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Transparencia:</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Rendición de Cuentas:</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Entorno Cultural y Ecológico:</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Generosidad:</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Igualdad:</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Respeto:</w:t>
      </w:r>
    </w:p>
    <w:p w:rsidR="00E15C72" w:rsidRPr="00557FB5" w:rsidRDefault="00E15C72" w:rsidP="003B231C">
      <w:pPr>
        <w:pStyle w:val="Prrafodelista"/>
        <w:numPr>
          <w:ilvl w:val="2"/>
          <w:numId w:val="1"/>
        </w:numPr>
        <w:spacing w:line="360" w:lineRule="auto"/>
        <w:jc w:val="both"/>
        <w:rPr>
          <w:rFonts w:ascii="Arial" w:hAnsi="Arial" w:cs="Arial"/>
          <w:lang w:val="es-ES_tradnl"/>
        </w:rPr>
      </w:pPr>
      <w:r w:rsidRPr="00557FB5">
        <w:rPr>
          <w:rFonts w:ascii="Arial" w:hAnsi="Arial" w:cs="Arial"/>
          <w:lang w:val="es-ES_tradnl"/>
        </w:rPr>
        <w:t>Liderazgo:</w:t>
      </w:r>
    </w:p>
    <w:p w:rsidR="00FA659D" w:rsidRDefault="00FA659D" w:rsidP="00B8477F">
      <w:pPr>
        <w:spacing w:after="0" w:line="360" w:lineRule="auto"/>
        <w:jc w:val="both"/>
        <w:rPr>
          <w:rFonts w:ascii="Arial" w:hAnsi="Arial" w:cs="Arial"/>
          <w:sz w:val="28"/>
          <w:szCs w:val="28"/>
          <w:lang w:val="es-ES_tradnl"/>
        </w:rPr>
      </w:pPr>
    </w:p>
    <w:p w:rsidR="00E15C72" w:rsidRPr="00B8477F" w:rsidRDefault="00E15C72" w:rsidP="00B8477F">
      <w:pPr>
        <w:spacing w:after="0" w:line="360" w:lineRule="auto"/>
        <w:jc w:val="both"/>
        <w:rPr>
          <w:rFonts w:ascii="Arial" w:hAnsi="Arial" w:cs="Arial"/>
          <w:sz w:val="28"/>
          <w:szCs w:val="28"/>
          <w:lang w:val="es-ES_tradnl"/>
        </w:rPr>
      </w:pPr>
      <w:r w:rsidRPr="00B8477F">
        <w:rPr>
          <w:rFonts w:ascii="Arial" w:hAnsi="Arial" w:cs="Arial"/>
          <w:sz w:val="28"/>
          <w:szCs w:val="28"/>
          <w:lang w:val="es-ES_tradnl"/>
        </w:rPr>
        <w:t>Diagnóstico FODA:</w:t>
      </w:r>
    </w:p>
    <w:p w:rsidR="00C3492E" w:rsidRPr="00C3492E" w:rsidRDefault="00C3492E" w:rsidP="00C3492E">
      <w:pPr>
        <w:spacing w:line="360" w:lineRule="auto"/>
        <w:rPr>
          <w:rFonts w:ascii="Arial" w:hAnsi="Arial" w:cs="Arial"/>
          <w:sz w:val="28"/>
          <w:szCs w:val="28"/>
        </w:rPr>
      </w:pPr>
      <w:r w:rsidRPr="00C3492E">
        <w:rPr>
          <w:rFonts w:ascii="Arial" w:hAnsi="Arial" w:cs="Arial"/>
          <w:sz w:val="28"/>
          <w:szCs w:val="28"/>
        </w:rPr>
        <w:t>Medio Interno</w:t>
      </w:r>
    </w:p>
    <w:tbl>
      <w:tblPr>
        <w:tblStyle w:val="Tablaconcuadrcula"/>
        <w:tblW w:w="5000" w:type="pct"/>
        <w:tblLook w:val="04A0"/>
      </w:tblPr>
      <w:tblGrid>
        <w:gridCol w:w="4501"/>
        <w:gridCol w:w="4502"/>
      </w:tblGrid>
      <w:tr w:rsidR="00C3492E" w:rsidTr="00C3492E">
        <w:tc>
          <w:tcPr>
            <w:tcW w:w="2500" w:type="pct"/>
          </w:tcPr>
          <w:p w:rsidR="00C3492E" w:rsidRPr="00C3492E" w:rsidRDefault="00C3492E" w:rsidP="00F46E82">
            <w:pPr>
              <w:spacing w:line="360" w:lineRule="auto"/>
              <w:jc w:val="center"/>
              <w:rPr>
                <w:rFonts w:ascii="Arial" w:hAnsi="Arial"/>
                <w:b/>
              </w:rPr>
            </w:pPr>
            <w:r w:rsidRPr="00C3492E">
              <w:rPr>
                <w:rFonts w:ascii="Arial" w:hAnsi="Arial"/>
                <w:b/>
              </w:rPr>
              <w:t>FORTALEZAS</w:t>
            </w:r>
          </w:p>
        </w:tc>
        <w:tc>
          <w:tcPr>
            <w:tcW w:w="2500" w:type="pct"/>
          </w:tcPr>
          <w:p w:rsidR="00C3492E" w:rsidRPr="00C3492E" w:rsidRDefault="00C3492E" w:rsidP="00F46E82">
            <w:pPr>
              <w:spacing w:line="360" w:lineRule="auto"/>
              <w:jc w:val="center"/>
              <w:rPr>
                <w:rFonts w:ascii="Arial" w:hAnsi="Arial"/>
                <w:b/>
              </w:rPr>
            </w:pPr>
            <w:r w:rsidRPr="00C3492E">
              <w:rPr>
                <w:rFonts w:ascii="Arial" w:hAnsi="Arial"/>
                <w:b/>
              </w:rPr>
              <w:t>DEBILIDADES</w:t>
            </w:r>
          </w:p>
        </w:tc>
      </w:tr>
      <w:tr w:rsidR="00C3492E" w:rsidTr="00C3492E">
        <w:trPr>
          <w:trHeight w:val="668"/>
        </w:trPr>
        <w:tc>
          <w:tcPr>
            <w:tcW w:w="2500" w:type="pct"/>
          </w:tcPr>
          <w:p w:rsidR="00C3492E" w:rsidRDefault="00C3492E" w:rsidP="00F46E82">
            <w:pPr>
              <w:spacing w:line="360" w:lineRule="auto"/>
              <w:rPr>
                <w:rFonts w:ascii="Arial" w:hAnsi="Arial"/>
              </w:rPr>
            </w:pPr>
            <w:r>
              <w:rPr>
                <w:rFonts w:ascii="Arial" w:hAnsi="Arial"/>
              </w:rPr>
              <w:t>1. Cuenta con Personal Capacitado</w:t>
            </w:r>
          </w:p>
        </w:tc>
        <w:tc>
          <w:tcPr>
            <w:tcW w:w="2500" w:type="pct"/>
          </w:tcPr>
          <w:p w:rsidR="00C3492E" w:rsidRDefault="00C3492E" w:rsidP="00F46E82">
            <w:pPr>
              <w:spacing w:line="360" w:lineRule="auto"/>
              <w:rPr>
                <w:rFonts w:ascii="Arial" w:hAnsi="Arial"/>
              </w:rPr>
            </w:pPr>
            <w:r>
              <w:rPr>
                <w:rFonts w:ascii="Arial" w:hAnsi="Arial"/>
              </w:rPr>
              <w:t>1. Cultura Organizacional del Personal Sindicalizado</w:t>
            </w:r>
          </w:p>
        </w:tc>
      </w:tr>
      <w:tr w:rsidR="00C3492E" w:rsidTr="00C3492E">
        <w:tc>
          <w:tcPr>
            <w:tcW w:w="2500" w:type="pct"/>
          </w:tcPr>
          <w:p w:rsidR="00C3492E" w:rsidRDefault="00C3492E" w:rsidP="00F46E82">
            <w:pPr>
              <w:spacing w:line="360" w:lineRule="auto"/>
              <w:rPr>
                <w:rFonts w:ascii="Arial" w:hAnsi="Arial"/>
              </w:rPr>
            </w:pPr>
            <w:r>
              <w:rPr>
                <w:rFonts w:ascii="Arial" w:hAnsi="Arial"/>
              </w:rPr>
              <w:t>2. Normatividad a la vanguardia del proceso</w:t>
            </w:r>
          </w:p>
        </w:tc>
        <w:tc>
          <w:tcPr>
            <w:tcW w:w="2500" w:type="pct"/>
          </w:tcPr>
          <w:p w:rsidR="00C3492E" w:rsidRDefault="00C3492E" w:rsidP="00F46E82">
            <w:pPr>
              <w:spacing w:line="360" w:lineRule="auto"/>
              <w:rPr>
                <w:rFonts w:ascii="Arial" w:hAnsi="Arial"/>
              </w:rPr>
            </w:pPr>
            <w:r>
              <w:rPr>
                <w:rFonts w:ascii="Arial" w:hAnsi="Arial"/>
              </w:rPr>
              <w:t>2. Falta de Cobertura de Plazas</w:t>
            </w:r>
          </w:p>
        </w:tc>
      </w:tr>
      <w:tr w:rsidR="00C3492E" w:rsidTr="00C3492E">
        <w:tc>
          <w:tcPr>
            <w:tcW w:w="2500" w:type="pct"/>
          </w:tcPr>
          <w:p w:rsidR="00C3492E" w:rsidRDefault="00C3492E" w:rsidP="00F46E82">
            <w:pPr>
              <w:spacing w:line="360" w:lineRule="auto"/>
              <w:rPr>
                <w:rFonts w:ascii="Arial" w:hAnsi="Arial"/>
              </w:rPr>
            </w:pPr>
            <w:r>
              <w:rPr>
                <w:rFonts w:ascii="Arial" w:hAnsi="Arial"/>
              </w:rPr>
              <w:t xml:space="preserve">3. Sistema de Información SAI (Sistema </w:t>
            </w:r>
            <w:r>
              <w:rPr>
                <w:rFonts w:ascii="Arial" w:hAnsi="Arial"/>
              </w:rPr>
              <w:lastRenderedPageBreak/>
              <w:t>de Abasto Institucional)</w:t>
            </w:r>
          </w:p>
        </w:tc>
        <w:tc>
          <w:tcPr>
            <w:tcW w:w="2500" w:type="pct"/>
          </w:tcPr>
          <w:p w:rsidR="00C3492E" w:rsidRDefault="00C3492E" w:rsidP="00F46E82">
            <w:pPr>
              <w:spacing w:line="360" w:lineRule="auto"/>
              <w:rPr>
                <w:rFonts w:ascii="Arial" w:hAnsi="Arial"/>
              </w:rPr>
            </w:pPr>
            <w:r>
              <w:rPr>
                <w:rFonts w:ascii="Arial" w:hAnsi="Arial"/>
              </w:rPr>
              <w:lastRenderedPageBreak/>
              <w:t xml:space="preserve">3. Falta de equipos en Almacén </w:t>
            </w:r>
            <w:r>
              <w:rPr>
                <w:rFonts w:ascii="Arial" w:hAnsi="Arial"/>
              </w:rPr>
              <w:lastRenderedPageBreak/>
              <w:t>(Montacargas)</w:t>
            </w:r>
          </w:p>
        </w:tc>
      </w:tr>
      <w:tr w:rsidR="00C3492E" w:rsidTr="00C3492E">
        <w:tc>
          <w:tcPr>
            <w:tcW w:w="2500" w:type="pct"/>
          </w:tcPr>
          <w:p w:rsidR="00C3492E" w:rsidRDefault="00C3492E" w:rsidP="00F46E82">
            <w:pPr>
              <w:spacing w:line="360" w:lineRule="auto"/>
              <w:rPr>
                <w:rFonts w:ascii="Arial" w:hAnsi="Arial"/>
              </w:rPr>
            </w:pPr>
            <w:r>
              <w:rPr>
                <w:rFonts w:ascii="Arial" w:hAnsi="Arial"/>
              </w:rPr>
              <w:lastRenderedPageBreak/>
              <w:t>4. Recursos financieros con la capacidad de reordenarse</w:t>
            </w:r>
          </w:p>
        </w:tc>
        <w:tc>
          <w:tcPr>
            <w:tcW w:w="2500" w:type="pct"/>
          </w:tcPr>
          <w:p w:rsidR="00C3492E" w:rsidRDefault="00C3492E" w:rsidP="00F46E82">
            <w:pPr>
              <w:spacing w:line="360" w:lineRule="auto"/>
              <w:rPr>
                <w:rFonts w:ascii="Arial" w:hAnsi="Arial"/>
              </w:rPr>
            </w:pPr>
            <w:r>
              <w:rPr>
                <w:rFonts w:ascii="Arial" w:hAnsi="Arial"/>
              </w:rPr>
              <w:t>4. Falta de espacios e infraestructura inmobiliaria</w:t>
            </w:r>
          </w:p>
        </w:tc>
      </w:tr>
      <w:tr w:rsidR="00C3492E" w:rsidTr="00C3492E">
        <w:tc>
          <w:tcPr>
            <w:tcW w:w="2500" w:type="pct"/>
          </w:tcPr>
          <w:p w:rsidR="00C3492E" w:rsidRDefault="00C3492E" w:rsidP="00F46E82">
            <w:pPr>
              <w:spacing w:line="360" w:lineRule="auto"/>
              <w:rPr>
                <w:rFonts w:ascii="Arial" w:hAnsi="Arial"/>
              </w:rPr>
            </w:pPr>
            <w:r>
              <w:rPr>
                <w:rFonts w:ascii="Arial" w:hAnsi="Arial"/>
              </w:rPr>
              <w:t xml:space="preserve">5. Área de </w:t>
            </w:r>
            <w:proofErr w:type="spellStart"/>
            <w:r>
              <w:rPr>
                <w:rFonts w:ascii="Arial" w:hAnsi="Arial"/>
              </w:rPr>
              <w:t>Auditoria</w:t>
            </w:r>
            <w:proofErr w:type="spellEnd"/>
            <w:r>
              <w:rPr>
                <w:rFonts w:ascii="Arial" w:hAnsi="Arial"/>
              </w:rPr>
              <w:t xml:space="preserve"> Interna</w:t>
            </w:r>
          </w:p>
        </w:tc>
        <w:tc>
          <w:tcPr>
            <w:tcW w:w="2500" w:type="pct"/>
          </w:tcPr>
          <w:p w:rsidR="00C3492E" w:rsidRDefault="00C3492E" w:rsidP="00F46E82">
            <w:pPr>
              <w:spacing w:line="360" w:lineRule="auto"/>
              <w:rPr>
                <w:rFonts w:ascii="Arial" w:hAnsi="Arial"/>
              </w:rPr>
            </w:pPr>
            <w:r>
              <w:rPr>
                <w:rFonts w:ascii="Arial" w:hAnsi="Arial"/>
              </w:rPr>
              <w:t>5. Deficiente sistema de seguridad</w:t>
            </w:r>
          </w:p>
        </w:tc>
      </w:tr>
    </w:tbl>
    <w:p w:rsidR="00C3492E" w:rsidRDefault="00C3492E" w:rsidP="00C3492E">
      <w:pPr>
        <w:spacing w:line="360" w:lineRule="auto"/>
        <w:rPr>
          <w:rFonts w:ascii="Arial" w:hAnsi="Arial"/>
        </w:rPr>
      </w:pPr>
    </w:p>
    <w:p w:rsidR="00C3492E" w:rsidRPr="00C3492E" w:rsidRDefault="00C3492E" w:rsidP="00C3492E">
      <w:pPr>
        <w:spacing w:line="360" w:lineRule="auto"/>
        <w:rPr>
          <w:rFonts w:ascii="Arial" w:hAnsi="Arial"/>
          <w:sz w:val="28"/>
          <w:szCs w:val="28"/>
        </w:rPr>
      </w:pPr>
      <w:r w:rsidRPr="00C3492E">
        <w:rPr>
          <w:rFonts w:ascii="Arial" w:hAnsi="Arial"/>
          <w:sz w:val="28"/>
          <w:szCs w:val="28"/>
        </w:rPr>
        <w:t>Medio externo</w:t>
      </w:r>
    </w:p>
    <w:tbl>
      <w:tblPr>
        <w:tblStyle w:val="Tablaconcuadrcula"/>
        <w:tblW w:w="0" w:type="auto"/>
        <w:tblLook w:val="04A0"/>
      </w:tblPr>
      <w:tblGrid>
        <w:gridCol w:w="4517"/>
        <w:gridCol w:w="4486"/>
      </w:tblGrid>
      <w:tr w:rsidR="00C3492E" w:rsidTr="00F46E82">
        <w:tc>
          <w:tcPr>
            <w:tcW w:w="4668" w:type="dxa"/>
          </w:tcPr>
          <w:p w:rsidR="00C3492E" w:rsidRPr="007D3AD6" w:rsidRDefault="00C3492E" w:rsidP="00F46E82">
            <w:pPr>
              <w:spacing w:line="360" w:lineRule="auto"/>
              <w:jc w:val="center"/>
              <w:rPr>
                <w:rFonts w:ascii="Arial" w:hAnsi="Arial"/>
                <w:b/>
              </w:rPr>
            </w:pPr>
            <w:r w:rsidRPr="007D3AD6">
              <w:rPr>
                <w:rFonts w:ascii="Arial" w:hAnsi="Arial"/>
                <w:b/>
              </w:rPr>
              <w:t>OPORTUNIDADES</w:t>
            </w:r>
          </w:p>
        </w:tc>
        <w:tc>
          <w:tcPr>
            <w:tcW w:w="4669" w:type="dxa"/>
          </w:tcPr>
          <w:p w:rsidR="00C3492E" w:rsidRPr="007D3AD6" w:rsidRDefault="00C3492E" w:rsidP="00F46E82">
            <w:pPr>
              <w:spacing w:line="360" w:lineRule="auto"/>
              <w:jc w:val="center"/>
              <w:rPr>
                <w:rFonts w:ascii="Arial" w:hAnsi="Arial"/>
                <w:b/>
              </w:rPr>
            </w:pPr>
            <w:r w:rsidRPr="007D3AD6">
              <w:rPr>
                <w:rFonts w:ascii="Arial" w:hAnsi="Arial"/>
                <w:b/>
              </w:rPr>
              <w:t>AMENAZAS</w:t>
            </w:r>
          </w:p>
        </w:tc>
      </w:tr>
      <w:tr w:rsidR="00C3492E" w:rsidTr="00F46E82">
        <w:tc>
          <w:tcPr>
            <w:tcW w:w="4668" w:type="dxa"/>
          </w:tcPr>
          <w:p w:rsidR="00C3492E" w:rsidRDefault="00C3492E" w:rsidP="00F46E82">
            <w:pPr>
              <w:spacing w:line="360" w:lineRule="auto"/>
              <w:rPr>
                <w:rFonts w:ascii="Arial" w:hAnsi="Arial"/>
              </w:rPr>
            </w:pPr>
            <w:r>
              <w:rPr>
                <w:rFonts w:ascii="Arial" w:hAnsi="Arial"/>
              </w:rPr>
              <w:t>1. Convenios con instituciones como DICONSA</w:t>
            </w:r>
          </w:p>
        </w:tc>
        <w:tc>
          <w:tcPr>
            <w:tcW w:w="4669" w:type="dxa"/>
          </w:tcPr>
          <w:p w:rsidR="00C3492E" w:rsidRDefault="00C3492E" w:rsidP="00F46E82">
            <w:pPr>
              <w:spacing w:line="360" w:lineRule="auto"/>
              <w:rPr>
                <w:rFonts w:ascii="Arial" w:hAnsi="Arial"/>
              </w:rPr>
            </w:pPr>
            <w:r>
              <w:rPr>
                <w:rFonts w:ascii="Arial" w:hAnsi="Arial"/>
              </w:rPr>
              <w:t>1. Contingencias en enlaces de Internet</w:t>
            </w:r>
          </w:p>
        </w:tc>
      </w:tr>
      <w:tr w:rsidR="00C3492E" w:rsidTr="00F46E82">
        <w:tc>
          <w:tcPr>
            <w:tcW w:w="4668" w:type="dxa"/>
          </w:tcPr>
          <w:p w:rsidR="00C3492E" w:rsidRDefault="00C3492E" w:rsidP="00F46E82">
            <w:pPr>
              <w:spacing w:line="360" w:lineRule="auto"/>
              <w:rPr>
                <w:rFonts w:ascii="Arial" w:hAnsi="Arial"/>
              </w:rPr>
            </w:pPr>
            <w:r>
              <w:rPr>
                <w:rFonts w:ascii="Arial" w:hAnsi="Arial"/>
              </w:rPr>
              <w:t>2. Convenio de colaboración con entidades como Protección Civil, Seguridad e Higiene, para el fortalecimiento de la seguridad del personal</w:t>
            </w:r>
          </w:p>
        </w:tc>
        <w:tc>
          <w:tcPr>
            <w:tcW w:w="4669" w:type="dxa"/>
          </w:tcPr>
          <w:p w:rsidR="00C3492E" w:rsidRDefault="00C3492E" w:rsidP="00F46E82">
            <w:pPr>
              <w:spacing w:line="360" w:lineRule="auto"/>
              <w:rPr>
                <w:rFonts w:ascii="Arial" w:hAnsi="Arial"/>
              </w:rPr>
            </w:pPr>
            <w:r>
              <w:rPr>
                <w:rFonts w:ascii="Arial" w:hAnsi="Arial"/>
              </w:rPr>
              <w:t>2. Incumplimiento de la Proveeduría</w:t>
            </w:r>
          </w:p>
        </w:tc>
      </w:tr>
      <w:tr w:rsidR="00C3492E" w:rsidTr="00F46E82">
        <w:tc>
          <w:tcPr>
            <w:tcW w:w="4668" w:type="dxa"/>
          </w:tcPr>
          <w:p w:rsidR="00C3492E" w:rsidRDefault="00C3492E" w:rsidP="00F46E82">
            <w:pPr>
              <w:spacing w:line="360" w:lineRule="auto"/>
              <w:rPr>
                <w:rFonts w:ascii="Arial" w:hAnsi="Arial"/>
              </w:rPr>
            </w:pPr>
            <w:r>
              <w:rPr>
                <w:rFonts w:ascii="Arial" w:hAnsi="Arial"/>
              </w:rPr>
              <w:t>3. Acreditación y Certificación por entidades que supervisan la regulación, control y fomento sanitario</w:t>
            </w:r>
          </w:p>
        </w:tc>
        <w:tc>
          <w:tcPr>
            <w:tcW w:w="4669" w:type="dxa"/>
          </w:tcPr>
          <w:p w:rsidR="00C3492E" w:rsidRDefault="00C3492E" w:rsidP="00F46E82">
            <w:pPr>
              <w:spacing w:line="360" w:lineRule="auto"/>
              <w:rPr>
                <w:rFonts w:ascii="Arial" w:hAnsi="Arial"/>
              </w:rPr>
            </w:pPr>
            <w:r>
              <w:rPr>
                <w:rFonts w:ascii="Arial" w:hAnsi="Arial"/>
              </w:rPr>
              <w:t>3. Errores en la determinación de necesidades de las áreas usuarias</w:t>
            </w:r>
          </w:p>
        </w:tc>
      </w:tr>
      <w:tr w:rsidR="00C3492E" w:rsidTr="00F46E82">
        <w:tc>
          <w:tcPr>
            <w:tcW w:w="4668" w:type="dxa"/>
          </w:tcPr>
          <w:p w:rsidR="00C3492E" w:rsidRDefault="00C3492E" w:rsidP="00F46E82">
            <w:pPr>
              <w:spacing w:line="360" w:lineRule="auto"/>
              <w:rPr>
                <w:rFonts w:ascii="Arial" w:hAnsi="Arial"/>
              </w:rPr>
            </w:pPr>
            <w:r>
              <w:rPr>
                <w:rFonts w:ascii="Arial" w:hAnsi="Arial"/>
              </w:rPr>
              <w:t>4. Gestión para incrementar el presupuesto asignado</w:t>
            </w:r>
          </w:p>
        </w:tc>
        <w:tc>
          <w:tcPr>
            <w:tcW w:w="4669" w:type="dxa"/>
          </w:tcPr>
          <w:p w:rsidR="00C3492E" w:rsidRDefault="00C3492E" w:rsidP="00F46E82">
            <w:pPr>
              <w:spacing w:line="360" w:lineRule="auto"/>
              <w:rPr>
                <w:rFonts w:ascii="Arial" w:hAnsi="Arial"/>
              </w:rPr>
            </w:pPr>
            <w:r>
              <w:rPr>
                <w:rFonts w:ascii="Arial" w:hAnsi="Arial"/>
              </w:rPr>
              <w:t>4. Cambios de administración en la coordinación de abastecimiento y equipamiento, irrumpen los procesos</w:t>
            </w:r>
          </w:p>
        </w:tc>
      </w:tr>
      <w:tr w:rsidR="00C3492E" w:rsidTr="00F46E82">
        <w:tc>
          <w:tcPr>
            <w:tcW w:w="4668" w:type="dxa"/>
          </w:tcPr>
          <w:p w:rsidR="00C3492E" w:rsidRDefault="00C3492E" w:rsidP="00F46E82">
            <w:pPr>
              <w:spacing w:line="360" w:lineRule="auto"/>
              <w:rPr>
                <w:rFonts w:ascii="Arial" w:hAnsi="Arial"/>
              </w:rPr>
            </w:pPr>
            <w:r>
              <w:rPr>
                <w:rFonts w:ascii="Arial" w:hAnsi="Arial"/>
              </w:rPr>
              <w:t>5. Desarrollar el área de Estudio de Mercado de forma permanente</w:t>
            </w:r>
          </w:p>
        </w:tc>
        <w:tc>
          <w:tcPr>
            <w:tcW w:w="4669" w:type="dxa"/>
          </w:tcPr>
          <w:p w:rsidR="00C3492E" w:rsidRDefault="00C3492E" w:rsidP="00F46E82">
            <w:pPr>
              <w:spacing w:line="360" w:lineRule="auto"/>
              <w:rPr>
                <w:rFonts w:ascii="Arial" w:hAnsi="Arial"/>
              </w:rPr>
            </w:pPr>
            <w:r>
              <w:rPr>
                <w:rFonts w:ascii="Arial" w:hAnsi="Arial"/>
              </w:rPr>
              <w:t>5. Compleja ubicación geográfica de unidades para la entrega de medicamentos e insumos</w:t>
            </w:r>
          </w:p>
        </w:tc>
      </w:tr>
    </w:tbl>
    <w:p w:rsidR="00C3492E" w:rsidRDefault="00C3492E" w:rsidP="00B8477F">
      <w:pPr>
        <w:spacing w:after="0" w:line="360" w:lineRule="auto"/>
        <w:jc w:val="both"/>
        <w:rPr>
          <w:rFonts w:ascii="Arial" w:hAnsi="Arial" w:cs="Arial"/>
          <w:sz w:val="28"/>
          <w:szCs w:val="28"/>
        </w:rPr>
      </w:pPr>
    </w:p>
    <w:p w:rsidR="00E43AD4" w:rsidRDefault="00B8477F" w:rsidP="00E43AD4">
      <w:pPr>
        <w:spacing w:after="0" w:line="360" w:lineRule="auto"/>
        <w:jc w:val="both"/>
        <w:rPr>
          <w:rFonts w:ascii="Arial" w:hAnsi="Arial" w:cs="Arial"/>
          <w:sz w:val="28"/>
          <w:szCs w:val="28"/>
          <w:lang w:val="es-ES_tradnl"/>
        </w:rPr>
      </w:pPr>
      <w:r w:rsidRPr="00B8477F">
        <w:rPr>
          <w:rFonts w:ascii="Arial" w:hAnsi="Arial" w:cs="Arial"/>
          <w:sz w:val="28"/>
          <w:szCs w:val="28"/>
          <w:lang w:val="es-ES_tradnl"/>
        </w:rPr>
        <w:t xml:space="preserve">Concepto </w:t>
      </w:r>
      <w:r w:rsidR="00E15C72" w:rsidRPr="00B8477F">
        <w:rPr>
          <w:rFonts w:ascii="Arial" w:hAnsi="Arial" w:cs="Arial"/>
          <w:sz w:val="28"/>
          <w:szCs w:val="28"/>
          <w:lang w:val="es-ES_tradnl"/>
        </w:rPr>
        <w:t>del modelo:</w:t>
      </w:r>
    </w:p>
    <w:p w:rsidR="00E43AD4" w:rsidRDefault="00E43AD4" w:rsidP="00E43AD4">
      <w:pPr>
        <w:spacing w:after="0" w:line="360" w:lineRule="auto"/>
        <w:jc w:val="both"/>
        <w:rPr>
          <w:rFonts w:ascii="Arial" w:hAnsi="Arial" w:cs="Arial"/>
          <w:sz w:val="28"/>
          <w:szCs w:val="28"/>
          <w:lang w:val="es-ES_tradnl"/>
        </w:rPr>
      </w:pPr>
    </w:p>
    <w:p w:rsidR="00C3492E" w:rsidRPr="00E43AD4" w:rsidRDefault="00C3492E" w:rsidP="00E43AD4">
      <w:pPr>
        <w:spacing w:after="0" w:line="360" w:lineRule="auto"/>
        <w:jc w:val="both"/>
        <w:rPr>
          <w:rFonts w:ascii="Arial" w:hAnsi="Arial"/>
          <w:sz w:val="24"/>
          <w:szCs w:val="24"/>
        </w:rPr>
      </w:pPr>
      <w:r w:rsidRPr="00E43AD4">
        <w:rPr>
          <w:rFonts w:ascii="Arial" w:hAnsi="Arial"/>
          <w:sz w:val="24"/>
          <w:szCs w:val="24"/>
        </w:rPr>
        <w:t>Es una estrategia delegacional que se integra por un proceso amplio que le permitirá al Instituto Mexicano del Seguro Social en la Delegación Chiapas, llevar a</w:t>
      </w:r>
      <w:r w:rsidR="00E43AD4">
        <w:rPr>
          <w:rFonts w:ascii="Arial" w:hAnsi="Arial"/>
          <w:sz w:val="24"/>
          <w:szCs w:val="24"/>
        </w:rPr>
        <w:t xml:space="preserve"> </w:t>
      </w:r>
      <w:r w:rsidRPr="00E43AD4">
        <w:rPr>
          <w:rFonts w:ascii="Arial" w:hAnsi="Arial"/>
          <w:sz w:val="24"/>
          <w:szCs w:val="24"/>
        </w:rPr>
        <w:t xml:space="preserve">cabo con equipos de trabajo y con directrices enfocadas al cumplimiento de los </w:t>
      </w:r>
      <w:r w:rsidRPr="00E43AD4">
        <w:rPr>
          <w:rFonts w:ascii="Arial" w:hAnsi="Arial"/>
          <w:sz w:val="24"/>
          <w:szCs w:val="24"/>
        </w:rPr>
        <w:lastRenderedPageBreak/>
        <w:t>objetivos de manera eficiente, resultando un benefici</w:t>
      </w:r>
      <w:r w:rsidR="00425753">
        <w:rPr>
          <w:rFonts w:ascii="Arial" w:hAnsi="Arial"/>
          <w:sz w:val="24"/>
          <w:szCs w:val="24"/>
        </w:rPr>
        <w:t>o para la administración, los servidores públicos y  los derechohabientes.</w:t>
      </w:r>
    </w:p>
    <w:p w:rsidR="00C3492E" w:rsidRPr="00C3492E" w:rsidRDefault="00C3492E" w:rsidP="00B8477F">
      <w:pPr>
        <w:spacing w:after="0" w:line="360" w:lineRule="auto"/>
        <w:jc w:val="both"/>
        <w:rPr>
          <w:rFonts w:ascii="Arial" w:hAnsi="Arial" w:cs="Arial"/>
          <w:sz w:val="28"/>
          <w:szCs w:val="28"/>
        </w:rPr>
      </w:pPr>
    </w:p>
    <w:p w:rsidR="00E15C72" w:rsidRDefault="00E15C72" w:rsidP="00B8477F">
      <w:pPr>
        <w:spacing w:after="0" w:line="360" w:lineRule="auto"/>
        <w:jc w:val="both"/>
        <w:rPr>
          <w:rFonts w:ascii="Arial" w:hAnsi="Arial" w:cs="Arial"/>
          <w:sz w:val="28"/>
          <w:szCs w:val="28"/>
          <w:lang w:val="es-ES_tradnl"/>
        </w:rPr>
      </w:pPr>
      <w:r w:rsidRPr="00B8477F">
        <w:rPr>
          <w:rFonts w:ascii="Arial" w:hAnsi="Arial" w:cs="Arial"/>
          <w:sz w:val="28"/>
          <w:szCs w:val="28"/>
          <w:lang w:val="es-ES_tradnl"/>
        </w:rPr>
        <w:t>Esquema gráfico:</w:t>
      </w:r>
    </w:p>
    <w:p w:rsidR="00244BE6" w:rsidRDefault="00244BE6" w:rsidP="00B8477F">
      <w:pPr>
        <w:spacing w:after="0" w:line="360" w:lineRule="auto"/>
        <w:jc w:val="both"/>
        <w:rPr>
          <w:rFonts w:ascii="Arial" w:hAnsi="Arial" w:cs="Arial"/>
          <w:sz w:val="28"/>
          <w:szCs w:val="28"/>
          <w:lang w:val="es-ES_tradnl"/>
        </w:rPr>
      </w:pPr>
    </w:p>
    <w:p w:rsidR="00244BE6" w:rsidRPr="00B8477F" w:rsidRDefault="00244BE6" w:rsidP="00B8477F">
      <w:pPr>
        <w:spacing w:after="0" w:line="360" w:lineRule="auto"/>
        <w:jc w:val="both"/>
        <w:rPr>
          <w:rFonts w:ascii="Arial" w:hAnsi="Arial" w:cs="Arial"/>
          <w:sz w:val="28"/>
          <w:szCs w:val="28"/>
          <w:lang w:val="es-ES_tradnl"/>
        </w:rPr>
      </w:pPr>
      <w:r>
        <w:rPr>
          <w:rFonts w:ascii="Arial" w:hAnsi="Arial" w:cs="Arial"/>
          <w:noProof/>
          <w:sz w:val="28"/>
          <w:szCs w:val="28"/>
          <w:lang w:eastAsia="es-ES"/>
        </w:rPr>
        <w:drawing>
          <wp:inline distT="0" distB="0" distL="0" distR="0">
            <wp:extent cx="5491274" cy="4659275"/>
            <wp:effectExtent l="76200" t="38100" r="71326" b="4607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F4B61" w:rsidRPr="00B8477F" w:rsidRDefault="00BF4B61" w:rsidP="00B8477F">
      <w:pPr>
        <w:spacing w:after="0" w:line="360" w:lineRule="auto"/>
        <w:jc w:val="both"/>
        <w:rPr>
          <w:rFonts w:ascii="Arial" w:hAnsi="Arial" w:cs="Arial"/>
          <w:sz w:val="28"/>
          <w:szCs w:val="28"/>
          <w:lang w:val="es-ES_tradnl"/>
        </w:rPr>
      </w:pPr>
    </w:p>
    <w:p w:rsidR="00E15C72" w:rsidRPr="00B8477F" w:rsidRDefault="00E15C72" w:rsidP="00B8477F">
      <w:pPr>
        <w:spacing w:after="0" w:line="360" w:lineRule="auto"/>
        <w:jc w:val="both"/>
        <w:rPr>
          <w:rFonts w:ascii="Arial" w:hAnsi="Arial" w:cs="Arial"/>
          <w:color w:val="1A1A1A"/>
          <w:sz w:val="28"/>
          <w:szCs w:val="28"/>
          <w:lang w:val="es-ES_tradnl"/>
        </w:rPr>
      </w:pPr>
      <w:r w:rsidRPr="00B8477F">
        <w:rPr>
          <w:rFonts w:ascii="Arial" w:hAnsi="Arial" w:cs="Arial"/>
          <w:sz w:val="28"/>
          <w:szCs w:val="28"/>
          <w:lang w:val="es-ES_tradnl"/>
        </w:rPr>
        <w:t>Objetivo General:</w:t>
      </w:r>
    </w:p>
    <w:p w:rsidR="00574135" w:rsidRDefault="00574135" w:rsidP="00574135">
      <w:pPr>
        <w:spacing w:after="0" w:line="360" w:lineRule="auto"/>
        <w:jc w:val="both"/>
        <w:rPr>
          <w:rFonts w:ascii="Arial" w:hAnsi="Arial"/>
          <w:sz w:val="24"/>
          <w:szCs w:val="24"/>
          <w:lang w:val="es-ES_tradnl"/>
        </w:rPr>
      </w:pPr>
    </w:p>
    <w:p w:rsidR="00425753" w:rsidRPr="00574135" w:rsidRDefault="00425753" w:rsidP="00574135">
      <w:pPr>
        <w:spacing w:after="0" w:line="360" w:lineRule="auto"/>
        <w:jc w:val="both"/>
        <w:rPr>
          <w:rFonts w:ascii="Arial" w:hAnsi="Arial"/>
          <w:sz w:val="24"/>
          <w:szCs w:val="24"/>
        </w:rPr>
      </w:pPr>
      <w:r>
        <w:rPr>
          <w:rFonts w:ascii="Arial" w:hAnsi="Arial"/>
          <w:sz w:val="24"/>
          <w:szCs w:val="24"/>
        </w:rPr>
        <w:t xml:space="preserve">Establecer </w:t>
      </w:r>
      <w:r w:rsidR="00574135">
        <w:rPr>
          <w:rFonts w:ascii="Arial" w:hAnsi="Arial"/>
          <w:sz w:val="24"/>
          <w:szCs w:val="24"/>
        </w:rPr>
        <w:t>una metodología</w:t>
      </w:r>
      <w:r>
        <w:rPr>
          <w:rFonts w:ascii="Arial" w:hAnsi="Arial"/>
          <w:sz w:val="24"/>
          <w:szCs w:val="24"/>
        </w:rPr>
        <w:t xml:space="preserve"> </w:t>
      </w:r>
      <w:r w:rsidR="00574135">
        <w:rPr>
          <w:rFonts w:ascii="Arial" w:hAnsi="Arial"/>
          <w:sz w:val="24"/>
          <w:szCs w:val="24"/>
        </w:rPr>
        <w:t>que permita</w:t>
      </w:r>
      <w:r w:rsidR="003E2921">
        <w:rPr>
          <w:rFonts w:ascii="Arial" w:hAnsi="Arial"/>
          <w:sz w:val="24"/>
          <w:szCs w:val="24"/>
        </w:rPr>
        <w:t xml:space="preserve"> la implementación de</w:t>
      </w:r>
      <w:r w:rsidR="003E2921" w:rsidRPr="00E43AD4">
        <w:rPr>
          <w:rFonts w:ascii="Arial" w:hAnsi="Arial"/>
          <w:sz w:val="24"/>
          <w:szCs w:val="24"/>
        </w:rPr>
        <w:t xml:space="preserve"> </w:t>
      </w:r>
      <w:r w:rsidR="003E2921">
        <w:rPr>
          <w:rFonts w:ascii="Arial" w:hAnsi="Arial"/>
          <w:sz w:val="24"/>
          <w:szCs w:val="24"/>
        </w:rPr>
        <w:t>modelos</w:t>
      </w:r>
      <w:r w:rsidR="00574135">
        <w:rPr>
          <w:rFonts w:ascii="Arial" w:hAnsi="Arial"/>
          <w:sz w:val="24"/>
          <w:szCs w:val="24"/>
        </w:rPr>
        <w:t xml:space="preserve"> </w:t>
      </w:r>
      <w:r w:rsidR="003E2921">
        <w:rPr>
          <w:rFonts w:ascii="Arial" w:hAnsi="Arial"/>
          <w:sz w:val="24"/>
          <w:szCs w:val="24"/>
        </w:rPr>
        <w:t>para</w:t>
      </w:r>
      <w:r>
        <w:rPr>
          <w:rFonts w:ascii="Arial" w:hAnsi="Arial"/>
          <w:sz w:val="24"/>
          <w:szCs w:val="24"/>
        </w:rPr>
        <w:t xml:space="preserve"> optimización</w:t>
      </w:r>
      <w:r w:rsidR="003E2921">
        <w:rPr>
          <w:rFonts w:ascii="Arial" w:hAnsi="Arial"/>
          <w:sz w:val="24"/>
          <w:szCs w:val="24"/>
        </w:rPr>
        <w:t xml:space="preserve"> financiera, administrativa y humana del área de</w:t>
      </w:r>
      <w:r w:rsidR="00574135">
        <w:rPr>
          <w:rFonts w:ascii="Arial" w:hAnsi="Arial"/>
          <w:sz w:val="24"/>
          <w:szCs w:val="24"/>
        </w:rPr>
        <w:t xml:space="preserve"> coordinación d</w:t>
      </w:r>
      <w:r w:rsidR="003E2921">
        <w:rPr>
          <w:rFonts w:ascii="Arial" w:hAnsi="Arial"/>
          <w:sz w:val="24"/>
          <w:szCs w:val="24"/>
        </w:rPr>
        <w:t>e abastecimiento y equipamiento del</w:t>
      </w:r>
      <w:r w:rsidRPr="00E43AD4">
        <w:rPr>
          <w:rFonts w:ascii="Arial" w:hAnsi="Arial"/>
          <w:sz w:val="24"/>
          <w:szCs w:val="24"/>
        </w:rPr>
        <w:t xml:space="preserve"> Instituto Mexicano del Seguro S</w:t>
      </w:r>
      <w:r w:rsidR="003E2921">
        <w:rPr>
          <w:rFonts w:ascii="Arial" w:hAnsi="Arial"/>
          <w:sz w:val="24"/>
          <w:szCs w:val="24"/>
        </w:rPr>
        <w:t>ocial en la Delegación Chiapas.</w:t>
      </w:r>
    </w:p>
    <w:p w:rsidR="00425753" w:rsidRPr="00425753" w:rsidRDefault="00425753" w:rsidP="00E15C72">
      <w:pPr>
        <w:spacing w:line="360" w:lineRule="auto"/>
        <w:jc w:val="both"/>
        <w:rPr>
          <w:rFonts w:ascii="Arial" w:hAnsi="Arial" w:cs="Arial"/>
          <w:sz w:val="24"/>
          <w:szCs w:val="24"/>
        </w:rPr>
      </w:pPr>
    </w:p>
    <w:p w:rsidR="00E15C72" w:rsidRPr="00E43AD4" w:rsidRDefault="00E15C72" w:rsidP="00E43AD4">
      <w:pPr>
        <w:spacing w:line="360" w:lineRule="auto"/>
        <w:jc w:val="both"/>
        <w:rPr>
          <w:rFonts w:ascii="Arial" w:hAnsi="Arial" w:cs="Arial"/>
          <w:color w:val="1A1A1A"/>
          <w:sz w:val="28"/>
          <w:szCs w:val="28"/>
          <w:lang w:val="es-ES_tradnl"/>
        </w:rPr>
      </w:pPr>
      <w:r w:rsidRPr="00E43AD4">
        <w:rPr>
          <w:rFonts w:ascii="Arial" w:hAnsi="Arial" w:cs="Arial"/>
          <w:sz w:val="28"/>
          <w:szCs w:val="28"/>
          <w:lang w:val="es-ES_tradnl"/>
        </w:rPr>
        <w:lastRenderedPageBreak/>
        <w:t>Obras consultadas:</w:t>
      </w:r>
    </w:p>
    <w:p w:rsidR="00E15C72" w:rsidRPr="00557FB5" w:rsidRDefault="00E15C72" w:rsidP="00E15C72">
      <w:pPr>
        <w:spacing w:line="360" w:lineRule="auto"/>
        <w:jc w:val="both"/>
        <w:rPr>
          <w:rFonts w:ascii="Arial" w:hAnsi="Arial" w:cs="Arial"/>
          <w:sz w:val="24"/>
          <w:szCs w:val="24"/>
          <w:lang w:val="es-ES_tradnl"/>
        </w:rPr>
      </w:pPr>
    </w:p>
    <w:p w:rsidR="00E15C72" w:rsidRPr="00557FB5" w:rsidRDefault="00065E77" w:rsidP="00E15C72">
      <w:pPr>
        <w:pStyle w:val="Prrafodelista"/>
        <w:numPr>
          <w:ilvl w:val="1"/>
          <w:numId w:val="1"/>
        </w:numPr>
        <w:spacing w:line="360" w:lineRule="auto"/>
        <w:jc w:val="both"/>
        <w:rPr>
          <w:rFonts w:ascii="Arial" w:hAnsi="Arial" w:cs="Arial"/>
          <w:color w:val="1A1A1A"/>
          <w:lang w:val="es-ES_tradnl"/>
        </w:rPr>
      </w:pPr>
      <w:hyperlink r:id="rId12" w:history="1">
        <w:r w:rsidR="00E15C72" w:rsidRPr="00557FB5">
          <w:rPr>
            <w:rStyle w:val="Hipervnculo"/>
            <w:rFonts w:ascii="Arial" w:hAnsi="Arial" w:cs="Arial"/>
            <w:lang w:val="es-ES_tradnl"/>
          </w:rPr>
          <w:t>http://www.imss.gob.mx/sites/all/statics/pdf/codigoconducta.pdf</w:t>
        </w:r>
      </w:hyperlink>
    </w:p>
    <w:p w:rsidR="00E15C72" w:rsidRPr="008C05A0" w:rsidRDefault="00E15C72" w:rsidP="00574135">
      <w:pPr>
        <w:pStyle w:val="Prrafodelista"/>
        <w:numPr>
          <w:ilvl w:val="1"/>
          <w:numId w:val="1"/>
        </w:numPr>
        <w:spacing w:line="360" w:lineRule="auto"/>
        <w:jc w:val="both"/>
        <w:rPr>
          <w:rFonts w:ascii="Arial" w:hAnsi="Arial" w:cs="Arial"/>
          <w:lang w:val="es-ES_tradnl"/>
        </w:rPr>
      </w:pPr>
      <w:r w:rsidRPr="00557FB5">
        <w:rPr>
          <w:rFonts w:ascii="Arial" w:hAnsi="Arial" w:cs="Arial"/>
          <w:lang w:val="es-ES_tradnl"/>
        </w:rPr>
        <w:t>http://www.imss.gob.mx/conoce-al-imss</w:t>
      </w:r>
      <w:bookmarkStart w:id="0" w:name="_GoBack"/>
      <w:bookmarkEnd w:id="0"/>
    </w:p>
    <w:sectPr w:rsidR="00E15C72" w:rsidRPr="008C05A0" w:rsidSect="003B231C">
      <w:headerReference w:type="default" r:id="rId13"/>
      <w:pgSz w:w="11906" w:h="16838"/>
      <w:pgMar w:top="1418" w:right="1701"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8B8" w:rsidRDefault="000448B8" w:rsidP="008C05A0">
      <w:pPr>
        <w:spacing w:after="0" w:line="240" w:lineRule="auto"/>
      </w:pPr>
      <w:r>
        <w:separator/>
      </w:r>
    </w:p>
  </w:endnote>
  <w:endnote w:type="continuationSeparator" w:id="0">
    <w:p w:rsidR="000448B8" w:rsidRDefault="000448B8" w:rsidP="008C0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8B8" w:rsidRDefault="000448B8" w:rsidP="008C05A0">
      <w:pPr>
        <w:spacing w:after="0" w:line="240" w:lineRule="auto"/>
      </w:pPr>
      <w:r>
        <w:separator/>
      </w:r>
    </w:p>
  </w:footnote>
  <w:footnote w:type="continuationSeparator" w:id="0">
    <w:p w:rsidR="000448B8" w:rsidRDefault="000448B8" w:rsidP="008C05A0">
      <w:pPr>
        <w:spacing w:after="0" w:line="240" w:lineRule="auto"/>
      </w:pPr>
      <w:r>
        <w:continuationSeparator/>
      </w:r>
    </w:p>
  </w:footnote>
  <w:footnote w:id="1">
    <w:p w:rsidR="00E15C72" w:rsidRPr="00743BE0" w:rsidRDefault="00E15C72" w:rsidP="00E15C72">
      <w:pPr>
        <w:pStyle w:val="Textonotapie"/>
        <w:rPr>
          <w:sz w:val="16"/>
          <w:szCs w:val="16"/>
          <w:lang w:val="es-ES"/>
        </w:rPr>
      </w:pPr>
      <w:r w:rsidRPr="00743BE0">
        <w:rPr>
          <w:rStyle w:val="Refdenotaalpie"/>
          <w:sz w:val="16"/>
          <w:szCs w:val="16"/>
        </w:rPr>
        <w:footnoteRef/>
      </w:r>
      <w:r w:rsidRPr="00743BE0">
        <w:rPr>
          <w:sz w:val="16"/>
          <w:szCs w:val="16"/>
        </w:rPr>
        <w:t xml:space="preserve"> http://www.imss.gob.mx/conoce-al-imss</w:t>
      </w:r>
    </w:p>
  </w:footnote>
  <w:footnote w:id="2">
    <w:p w:rsidR="00E15C72" w:rsidRPr="00C3492E" w:rsidRDefault="00E15C72" w:rsidP="00E15C72">
      <w:pPr>
        <w:pStyle w:val="Textonotapie"/>
        <w:rPr>
          <w:sz w:val="16"/>
          <w:szCs w:val="16"/>
        </w:rPr>
      </w:pPr>
      <w:r w:rsidRPr="00743BE0">
        <w:rPr>
          <w:rStyle w:val="Refdenotaalpie"/>
          <w:sz w:val="16"/>
          <w:szCs w:val="16"/>
        </w:rPr>
        <w:footnoteRef/>
      </w:r>
      <w:r w:rsidRPr="00C3492E">
        <w:rPr>
          <w:sz w:val="16"/>
          <w:szCs w:val="16"/>
        </w:rPr>
        <w:t xml:space="preserve"> IDEM (1)</w:t>
      </w:r>
    </w:p>
  </w:footnote>
  <w:footnote w:id="3">
    <w:p w:rsidR="00E15C72" w:rsidRPr="00C3492E" w:rsidRDefault="00E15C72" w:rsidP="00E15C72">
      <w:pPr>
        <w:pStyle w:val="Textonotapie"/>
        <w:rPr>
          <w:sz w:val="16"/>
          <w:szCs w:val="16"/>
        </w:rPr>
      </w:pPr>
      <w:r w:rsidRPr="00743BE0">
        <w:rPr>
          <w:rStyle w:val="Refdenotaalpie"/>
          <w:sz w:val="16"/>
          <w:szCs w:val="16"/>
        </w:rPr>
        <w:footnoteRef/>
      </w:r>
      <w:r w:rsidRPr="00C3492E">
        <w:rPr>
          <w:sz w:val="16"/>
          <w:szCs w:val="16"/>
        </w:rPr>
        <w:t xml:space="preserve"> IDEM (1)</w:t>
      </w:r>
    </w:p>
  </w:footnote>
  <w:footnote w:id="4">
    <w:p w:rsidR="00E15C72" w:rsidRPr="00C3492E" w:rsidRDefault="00E15C72" w:rsidP="00E15C72">
      <w:pPr>
        <w:pStyle w:val="Textonotapie"/>
      </w:pPr>
      <w:r w:rsidRPr="00743BE0">
        <w:rPr>
          <w:rStyle w:val="Refdenotaalpie"/>
          <w:sz w:val="16"/>
          <w:szCs w:val="16"/>
        </w:rPr>
        <w:footnoteRef/>
      </w:r>
      <w:r w:rsidRPr="00C3492E">
        <w:rPr>
          <w:sz w:val="16"/>
          <w:szCs w:val="16"/>
        </w:rPr>
        <w:t xml:space="preserve"> IDEM (1)</w:t>
      </w:r>
    </w:p>
  </w:footnote>
  <w:footnote w:id="5">
    <w:p w:rsidR="00E15C72" w:rsidRPr="00C3492E" w:rsidRDefault="00E15C72" w:rsidP="00E15C72">
      <w:pPr>
        <w:pStyle w:val="Textonotapie"/>
        <w:rPr>
          <w:sz w:val="16"/>
          <w:szCs w:val="16"/>
        </w:rPr>
      </w:pPr>
      <w:r w:rsidRPr="00743BE0">
        <w:rPr>
          <w:rStyle w:val="Refdenotaalpie"/>
          <w:sz w:val="16"/>
          <w:szCs w:val="16"/>
        </w:rPr>
        <w:footnoteRef/>
      </w:r>
      <w:r w:rsidRPr="00C3492E">
        <w:rPr>
          <w:sz w:val="16"/>
          <w:szCs w:val="16"/>
        </w:rPr>
        <w:t xml:space="preserve"> </w:t>
      </w:r>
      <w:hyperlink r:id="rId1" w:history="1">
        <w:r w:rsidR="008F4D71" w:rsidRPr="00C3492E">
          <w:rPr>
            <w:rStyle w:val="Hipervnculo"/>
            <w:sz w:val="16"/>
            <w:szCs w:val="16"/>
          </w:rPr>
          <w:t>http://www.imss.gob.mx/sites/all/statics/pdf/codigoconducta.pdf</w:t>
        </w:r>
      </w:hyperlink>
      <w:r w:rsidR="008F4D71" w:rsidRPr="00C3492E">
        <w:rPr>
          <w:sz w:val="16"/>
          <w:szCs w:val="16"/>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5A0" w:rsidRPr="00E15C72" w:rsidRDefault="008C05A0"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noProof/>
        <w:color w:val="000000" w:themeColor="text1"/>
        <w:sz w:val="20"/>
        <w:szCs w:val="20"/>
        <w:lang w:eastAsia="es-ES"/>
      </w:rPr>
      <w:drawing>
        <wp:anchor distT="0" distB="0" distL="114300" distR="114300" simplePos="0" relativeHeight="251659264" behindDoc="1" locked="0" layoutInCell="1" allowOverlap="1">
          <wp:simplePos x="0" y="0"/>
          <wp:positionH relativeFrom="column">
            <wp:posOffset>-105203</wp:posOffset>
          </wp:positionH>
          <wp:positionV relativeFrom="paragraph">
            <wp:posOffset>-67442</wp:posOffset>
          </wp:positionV>
          <wp:extent cx="1352550" cy="850604"/>
          <wp:effectExtent l="19050" t="0" r="0" b="0"/>
          <wp:wrapNone/>
          <wp:docPr id="2" name="Imagen 1" descr="https://encrypted-tbn3.gstatic.com/images?q=tbn:ANd9GcTYd9h20htvCiZC-blTO0e1NTEGJcfFplFLaZ2kEqUXvaHjqUAGIlk_T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TYd9h20htvCiZC-blTO0e1NTEGJcfFplFLaZ2kEqUXvaHjqUAGIlk_T8A"/>
                  <pic:cNvPicPr>
                    <a:picLocks noChangeAspect="1" noChangeArrowheads="1"/>
                  </pic:cNvPicPr>
                </pic:nvPicPr>
                <pic:blipFill>
                  <a:blip r:embed="rId1"/>
                  <a:srcRect/>
                  <a:stretch>
                    <a:fillRect/>
                  </a:stretch>
                </pic:blipFill>
                <pic:spPr bwMode="auto">
                  <a:xfrm>
                    <a:off x="0" y="0"/>
                    <a:ext cx="1352550" cy="850604"/>
                  </a:xfrm>
                  <a:prstGeom prst="rect">
                    <a:avLst/>
                  </a:prstGeom>
                  <a:noFill/>
                  <a:ln w="9525">
                    <a:noFill/>
                    <a:miter lim="800000"/>
                    <a:headEnd/>
                    <a:tailEnd/>
                  </a:ln>
                </pic:spPr>
              </pic:pic>
            </a:graphicData>
          </a:graphic>
        </wp:anchor>
      </w:drawing>
    </w:r>
    <w:r w:rsidRPr="00E15C72">
      <w:rPr>
        <w:rFonts w:ascii="Arial" w:hAnsi="Arial" w:cs="Arial"/>
        <w:b/>
        <w:color w:val="000000" w:themeColor="text1"/>
        <w:sz w:val="20"/>
        <w:szCs w:val="20"/>
        <w:lang w:val="es-ES_tradnl"/>
      </w:rPr>
      <w:t xml:space="preserve">INSTITUTO DE ADMINISTRACIÓN PÚBLICA </w:t>
    </w:r>
  </w:p>
  <w:p w:rsidR="008C05A0" w:rsidRPr="00E15C72" w:rsidRDefault="008C05A0" w:rsidP="008C05A0">
    <w:pPr>
      <w:spacing w:after="0" w:line="240" w:lineRule="auto"/>
      <w:jc w:val="center"/>
      <w:rPr>
        <w:rFonts w:ascii="Arial" w:hAnsi="Arial" w:cs="Arial"/>
        <w:b/>
        <w:color w:val="000000" w:themeColor="text1"/>
        <w:sz w:val="20"/>
        <w:szCs w:val="20"/>
        <w:lang w:val="es-ES_tradnl"/>
      </w:rPr>
    </w:pPr>
    <w:r w:rsidRPr="00E15C72">
      <w:rPr>
        <w:rFonts w:ascii="Arial" w:hAnsi="Arial" w:cs="Arial"/>
        <w:b/>
        <w:color w:val="000000" w:themeColor="text1"/>
        <w:sz w:val="20"/>
        <w:szCs w:val="20"/>
        <w:lang w:val="es-ES_tradnl"/>
      </w:rPr>
      <w:t>DEL ESTADO DE CHIAPAS</w:t>
    </w:r>
  </w:p>
  <w:p w:rsidR="003A277E" w:rsidRPr="00E15C72" w:rsidRDefault="008C05A0"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 xml:space="preserve">MAESTRÍA EN ADMINISTRACIÓN </w:t>
    </w:r>
  </w:p>
  <w:p w:rsidR="008C05A0" w:rsidRPr="00E15C72" w:rsidRDefault="008C05A0"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Y POLÍTICAS PÚBLICAS</w:t>
    </w:r>
  </w:p>
  <w:p w:rsidR="008C05A0" w:rsidRPr="00E15C72" w:rsidRDefault="008C05A0" w:rsidP="008C05A0">
    <w:pPr>
      <w:spacing w:after="0" w:line="240" w:lineRule="auto"/>
      <w:jc w:val="center"/>
      <w:rPr>
        <w:rFonts w:ascii="Arial" w:hAnsi="Arial" w:cs="Arial"/>
        <w:color w:val="000000" w:themeColor="text1"/>
        <w:sz w:val="20"/>
        <w:szCs w:val="20"/>
        <w:lang w:val="es-ES_tradnl"/>
      </w:rPr>
    </w:pPr>
    <w:r w:rsidRPr="00E15C72">
      <w:rPr>
        <w:rFonts w:ascii="Arial" w:hAnsi="Arial" w:cs="Arial"/>
        <w:color w:val="000000" w:themeColor="text1"/>
        <w:sz w:val="20"/>
        <w:szCs w:val="20"/>
        <w:lang w:val="es-ES_tradnl"/>
      </w:rPr>
      <w:t>DESARROLLO ORGANIZACIONAL</w:t>
    </w:r>
  </w:p>
  <w:p w:rsidR="008C05A0" w:rsidRDefault="008C05A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DEA"/>
    <w:multiLevelType w:val="hybridMultilevel"/>
    <w:tmpl w:val="0C00D5EE"/>
    <w:lvl w:ilvl="0" w:tplc="BB26133C">
      <w:start w:val="1"/>
      <w:numFmt w:val="lowerLetter"/>
      <w:lvlText w:val="%1)"/>
      <w:lvlJc w:val="left"/>
      <w:pPr>
        <w:tabs>
          <w:tab w:val="num" w:pos="720"/>
        </w:tabs>
        <w:ind w:left="720" w:hanging="360"/>
      </w:pPr>
    </w:lvl>
    <w:lvl w:ilvl="1" w:tplc="2B7C9878">
      <w:start w:val="1"/>
      <w:numFmt w:val="lowerLetter"/>
      <w:lvlText w:val="%2)"/>
      <w:lvlJc w:val="left"/>
      <w:pPr>
        <w:tabs>
          <w:tab w:val="num" w:pos="1440"/>
        </w:tabs>
        <w:ind w:left="1440" w:hanging="360"/>
      </w:pPr>
    </w:lvl>
    <w:lvl w:ilvl="2" w:tplc="D5B04450" w:tentative="1">
      <w:start w:val="1"/>
      <w:numFmt w:val="lowerLetter"/>
      <w:lvlText w:val="%3)"/>
      <w:lvlJc w:val="left"/>
      <w:pPr>
        <w:tabs>
          <w:tab w:val="num" w:pos="2160"/>
        </w:tabs>
        <w:ind w:left="2160" w:hanging="360"/>
      </w:pPr>
    </w:lvl>
    <w:lvl w:ilvl="3" w:tplc="FF6C680E" w:tentative="1">
      <w:start w:val="1"/>
      <w:numFmt w:val="lowerLetter"/>
      <w:lvlText w:val="%4)"/>
      <w:lvlJc w:val="left"/>
      <w:pPr>
        <w:tabs>
          <w:tab w:val="num" w:pos="2880"/>
        </w:tabs>
        <w:ind w:left="2880" w:hanging="360"/>
      </w:pPr>
    </w:lvl>
    <w:lvl w:ilvl="4" w:tplc="5046EE74" w:tentative="1">
      <w:start w:val="1"/>
      <w:numFmt w:val="lowerLetter"/>
      <w:lvlText w:val="%5)"/>
      <w:lvlJc w:val="left"/>
      <w:pPr>
        <w:tabs>
          <w:tab w:val="num" w:pos="3600"/>
        </w:tabs>
        <w:ind w:left="3600" w:hanging="360"/>
      </w:pPr>
    </w:lvl>
    <w:lvl w:ilvl="5" w:tplc="9848AC6C" w:tentative="1">
      <w:start w:val="1"/>
      <w:numFmt w:val="lowerLetter"/>
      <w:lvlText w:val="%6)"/>
      <w:lvlJc w:val="left"/>
      <w:pPr>
        <w:tabs>
          <w:tab w:val="num" w:pos="4320"/>
        </w:tabs>
        <w:ind w:left="4320" w:hanging="360"/>
      </w:pPr>
    </w:lvl>
    <w:lvl w:ilvl="6" w:tplc="38B04064" w:tentative="1">
      <w:start w:val="1"/>
      <w:numFmt w:val="lowerLetter"/>
      <w:lvlText w:val="%7)"/>
      <w:lvlJc w:val="left"/>
      <w:pPr>
        <w:tabs>
          <w:tab w:val="num" w:pos="5040"/>
        </w:tabs>
        <w:ind w:left="5040" w:hanging="360"/>
      </w:pPr>
    </w:lvl>
    <w:lvl w:ilvl="7" w:tplc="88083D32" w:tentative="1">
      <w:start w:val="1"/>
      <w:numFmt w:val="lowerLetter"/>
      <w:lvlText w:val="%8)"/>
      <w:lvlJc w:val="left"/>
      <w:pPr>
        <w:tabs>
          <w:tab w:val="num" w:pos="5760"/>
        </w:tabs>
        <w:ind w:left="5760" w:hanging="360"/>
      </w:pPr>
    </w:lvl>
    <w:lvl w:ilvl="8" w:tplc="FE06B246" w:tentative="1">
      <w:start w:val="1"/>
      <w:numFmt w:val="lowerLetter"/>
      <w:lvlText w:val="%9)"/>
      <w:lvlJc w:val="left"/>
      <w:pPr>
        <w:tabs>
          <w:tab w:val="num" w:pos="6480"/>
        </w:tabs>
        <w:ind w:left="6480" w:hanging="360"/>
      </w:pPr>
    </w:lvl>
  </w:abstractNum>
  <w:abstractNum w:abstractNumId="1">
    <w:nsid w:val="2D6B1C6F"/>
    <w:multiLevelType w:val="hybridMultilevel"/>
    <w:tmpl w:val="0840E394"/>
    <w:lvl w:ilvl="0" w:tplc="D4FC4574">
      <w:start w:val="2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B8D331B"/>
    <w:multiLevelType w:val="hybridMultilevel"/>
    <w:tmpl w:val="97CE31EC"/>
    <w:lvl w:ilvl="0" w:tplc="040A000F">
      <w:start w:val="1"/>
      <w:numFmt w:val="decimal"/>
      <w:lvlText w:val="%1."/>
      <w:lvlJc w:val="left"/>
      <w:pPr>
        <w:ind w:left="644" w:hanging="360"/>
      </w:pPr>
    </w:lvl>
    <w:lvl w:ilvl="1" w:tplc="040A0019">
      <w:start w:val="1"/>
      <w:numFmt w:val="lowerLetter"/>
      <w:lvlText w:val="%2."/>
      <w:lvlJc w:val="left"/>
      <w:pPr>
        <w:ind w:left="1364" w:hanging="360"/>
      </w:pPr>
    </w:lvl>
    <w:lvl w:ilvl="2" w:tplc="040A001B">
      <w:start w:val="1"/>
      <w:numFmt w:val="lowerRoman"/>
      <w:lvlText w:val="%3."/>
      <w:lvlJc w:val="right"/>
      <w:pPr>
        <w:ind w:left="2084" w:hanging="180"/>
      </w:pPr>
    </w:lvl>
    <w:lvl w:ilvl="3" w:tplc="040A000F" w:tentative="1">
      <w:start w:val="1"/>
      <w:numFmt w:val="decimal"/>
      <w:lvlText w:val="%4."/>
      <w:lvlJc w:val="left"/>
      <w:pPr>
        <w:ind w:left="2804" w:hanging="360"/>
      </w:pPr>
    </w:lvl>
    <w:lvl w:ilvl="4" w:tplc="040A0019" w:tentative="1">
      <w:start w:val="1"/>
      <w:numFmt w:val="lowerLetter"/>
      <w:lvlText w:val="%5."/>
      <w:lvlJc w:val="left"/>
      <w:pPr>
        <w:ind w:left="3524" w:hanging="360"/>
      </w:pPr>
    </w:lvl>
    <w:lvl w:ilvl="5" w:tplc="040A001B" w:tentative="1">
      <w:start w:val="1"/>
      <w:numFmt w:val="lowerRoman"/>
      <w:lvlText w:val="%6."/>
      <w:lvlJc w:val="right"/>
      <w:pPr>
        <w:ind w:left="4244" w:hanging="180"/>
      </w:pPr>
    </w:lvl>
    <w:lvl w:ilvl="6" w:tplc="040A000F" w:tentative="1">
      <w:start w:val="1"/>
      <w:numFmt w:val="decimal"/>
      <w:lvlText w:val="%7."/>
      <w:lvlJc w:val="left"/>
      <w:pPr>
        <w:ind w:left="4964" w:hanging="360"/>
      </w:pPr>
    </w:lvl>
    <w:lvl w:ilvl="7" w:tplc="040A0019" w:tentative="1">
      <w:start w:val="1"/>
      <w:numFmt w:val="lowerLetter"/>
      <w:lvlText w:val="%8."/>
      <w:lvlJc w:val="left"/>
      <w:pPr>
        <w:ind w:left="5684" w:hanging="360"/>
      </w:pPr>
    </w:lvl>
    <w:lvl w:ilvl="8" w:tplc="040A001B" w:tentative="1">
      <w:start w:val="1"/>
      <w:numFmt w:val="lowerRoman"/>
      <w:lvlText w:val="%9."/>
      <w:lvlJc w:val="right"/>
      <w:pPr>
        <w:ind w:left="6404" w:hanging="180"/>
      </w:pPr>
    </w:lvl>
  </w:abstractNum>
  <w:abstractNum w:abstractNumId="3">
    <w:nsid w:val="7DCA7038"/>
    <w:multiLevelType w:val="hybridMultilevel"/>
    <w:tmpl w:val="AFD2B87E"/>
    <w:lvl w:ilvl="0" w:tplc="35B842F2">
      <w:start w:val="1"/>
      <w:numFmt w:val="decimal"/>
      <w:lvlText w:val="%1."/>
      <w:lvlJc w:val="left"/>
      <w:pPr>
        <w:tabs>
          <w:tab w:val="num" w:pos="720"/>
        </w:tabs>
        <w:ind w:left="720" w:hanging="360"/>
      </w:pPr>
    </w:lvl>
    <w:lvl w:ilvl="1" w:tplc="C52239B0">
      <w:start w:val="1"/>
      <w:numFmt w:val="decimal"/>
      <w:lvlText w:val="%2."/>
      <w:lvlJc w:val="left"/>
      <w:pPr>
        <w:tabs>
          <w:tab w:val="num" w:pos="1440"/>
        </w:tabs>
        <w:ind w:left="1440" w:hanging="360"/>
      </w:pPr>
    </w:lvl>
    <w:lvl w:ilvl="2" w:tplc="6D745EB6" w:tentative="1">
      <w:start w:val="1"/>
      <w:numFmt w:val="decimal"/>
      <w:lvlText w:val="%3."/>
      <w:lvlJc w:val="left"/>
      <w:pPr>
        <w:tabs>
          <w:tab w:val="num" w:pos="2160"/>
        </w:tabs>
        <w:ind w:left="2160" w:hanging="360"/>
      </w:pPr>
    </w:lvl>
    <w:lvl w:ilvl="3" w:tplc="FEB2C168" w:tentative="1">
      <w:start w:val="1"/>
      <w:numFmt w:val="decimal"/>
      <w:lvlText w:val="%4."/>
      <w:lvlJc w:val="left"/>
      <w:pPr>
        <w:tabs>
          <w:tab w:val="num" w:pos="2880"/>
        </w:tabs>
        <w:ind w:left="2880" w:hanging="360"/>
      </w:pPr>
    </w:lvl>
    <w:lvl w:ilvl="4" w:tplc="31922F70" w:tentative="1">
      <w:start w:val="1"/>
      <w:numFmt w:val="decimal"/>
      <w:lvlText w:val="%5."/>
      <w:lvlJc w:val="left"/>
      <w:pPr>
        <w:tabs>
          <w:tab w:val="num" w:pos="3600"/>
        </w:tabs>
        <w:ind w:left="3600" w:hanging="360"/>
      </w:pPr>
    </w:lvl>
    <w:lvl w:ilvl="5" w:tplc="25A0D2FE" w:tentative="1">
      <w:start w:val="1"/>
      <w:numFmt w:val="decimal"/>
      <w:lvlText w:val="%6."/>
      <w:lvlJc w:val="left"/>
      <w:pPr>
        <w:tabs>
          <w:tab w:val="num" w:pos="4320"/>
        </w:tabs>
        <w:ind w:left="4320" w:hanging="360"/>
      </w:pPr>
    </w:lvl>
    <w:lvl w:ilvl="6" w:tplc="D8921734" w:tentative="1">
      <w:start w:val="1"/>
      <w:numFmt w:val="decimal"/>
      <w:lvlText w:val="%7."/>
      <w:lvlJc w:val="left"/>
      <w:pPr>
        <w:tabs>
          <w:tab w:val="num" w:pos="5040"/>
        </w:tabs>
        <w:ind w:left="5040" w:hanging="360"/>
      </w:pPr>
    </w:lvl>
    <w:lvl w:ilvl="7" w:tplc="65EA24AA" w:tentative="1">
      <w:start w:val="1"/>
      <w:numFmt w:val="decimal"/>
      <w:lvlText w:val="%8."/>
      <w:lvlJc w:val="left"/>
      <w:pPr>
        <w:tabs>
          <w:tab w:val="num" w:pos="5760"/>
        </w:tabs>
        <w:ind w:left="5760" w:hanging="360"/>
      </w:pPr>
    </w:lvl>
    <w:lvl w:ilvl="8" w:tplc="F19CB242"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7B3ED4"/>
    <w:rsid w:val="00024A14"/>
    <w:rsid w:val="000448B8"/>
    <w:rsid w:val="0005221C"/>
    <w:rsid w:val="00056B75"/>
    <w:rsid w:val="00065E77"/>
    <w:rsid w:val="000909A5"/>
    <w:rsid w:val="00094E84"/>
    <w:rsid w:val="001C01BE"/>
    <w:rsid w:val="001F0C17"/>
    <w:rsid w:val="00244BE6"/>
    <w:rsid w:val="0025511E"/>
    <w:rsid w:val="00295AC4"/>
    <w:rsid w:val="0033608A"/>
    <w:rsid w:val="003A277E"/>
    <w:rsid w:val="003B231C"/>
    <w:rsid w:val="003E2921"/>
    <w:rsid w:val="00421AA5"/>
    <w:rsid w:val="00425753"/>
    <w:rsid w:val="004A3080"/>
    <w:rsid w:val="004B221A"/>
    <w:rsid w:val="00514D4D"/>
    <w:rsid w:val="005435F3"/>
    <w:rsid w:val="00557FB5"/>
    <w:rsid w:val="00572426"/>
    <w:rsid w:val="00574135"/>
    <w:rsid w:val="00591FAF"/>
    <w:rsid w:val="00627E18"/>
    <w:rsid w:val="00653C8C"/>
    <w:rsid w:val="00690F26"/>
    <w:rsid w:val="006E0668"/>
    <w:rsid w:val="006F619A"/>
    <w:rsid w:val="007077D4"/>
    <w:rsid w:val="00711E4C"/>
    <w:rsid w:val="00785753"/>
    <w:rsid w:val="00790D12"/>
    <w:rsid w:val="007B3ED4"/>
    <w:rsid w:val="0082315D"/>
    <w:rsid w:val="00852AE9"/>
    <w:rsid w:val="008B0687"/>
    <w:rsid w:val="008C05A0"/>
    <w:rsid w:val="008F4D71"/>
    <w:rsid w:val="009472C6"/>
    <w:rsid w:val="00963CE2"/>
    <w:rsid w:val="009679FD"/>
    <w:rsid w:val="00984EB0"/>
    <w:rsid w:val="009A6D89"/>
    <w:rsid w:val="00AB06CC"/>
    <w:rsid w:val="00AC1B4F"/>
    <w:rsid w:val="00AD4D59"/>
    <w:rsid w:val="00B10F42"/>
    <w:rsid w:val="00B448DE"/>
    <w:rsid w:val="00B527D7"/>
    <w:rsid w:val="00B8477F"/>
    <w:rsid w:val="00BD2B2C"/>
    <w:rsid w:val="00BF4B61"/>
    <w:rsid w:val="00C3492E"/>
    <w:rsid w:val="00C76C7A"/>
    <w:rsid w:val="00C87FAE"/>
    <w:rsid w:val="00CE521D"/>
    <w:rsid w:val="00DC63ED"/>
    <w:rsid w:val="00E15C72"/>
    <w:rsid w:val="00E43AD4"/>
    <w:rsid w:val="00EE2AAC"/>
    <w:rsid w:val="00F75AA7"/>
    <w:rsid w:val="00FA659D"/>
    <w:rsid w:val="00FF21D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3E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3ED4"/>
    <w:rPr>
      <w:b/>
      <w:bCs/>
    </w:rPr>
  </w:style>
  <w:style w:type="paragraph" w:styleId="Textodeglobo">
    <w:name w:val="Balloon Text"/>
    <w:basedOn w:val="Normal"/>
    <w:link w:val="TextodegloboCar"/>
    <w:uiPriority w:val="99"/>
    <w:semiHidden/>
    <w:unhideWhenUsed/>
    <w:rsid w:val="008C05A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05A0"/>
    <w:rPr>
      <w:rFonts w:ascii="Tahoma" w:hAnsi="Tahoma" w:cs="Tahoma"/>
      <w:sz w:val="16"/>
      <w:szCs w:val="16"/>
    </w:rPr>
  </w:style>
  <w:style w:type="paragraph" w:styleId="Encabezado">
    <w:name w:val="header"/>
    <w:basedOn w:val="Normal"/>
    <w:link w:val="EncabezadoCar"/>
    <w:uiPriority w:val="99"/>
    <w:semiHidden/>
    <w:unhideWhenUsed/>
    <w:rsid w:val="008C05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C05A0"/>
  </w:style>
  <w:style w:type="paragraph" w:styleId="Piedepgina">
    <w:name w:val="footer"/>
    <w:basedOn w:val="Normal"/>
    <w:link w:val="PiedepginaCar"/>
    <w:uiPriority w:val="99"/>
    <w:semiHidden/>
    <w:unhideWhenUsed/>
    <w:rsid w:val="008C0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C05A0"/>
  </w:style>
  <w:style w:type="paragraph" w:styleId="Prrafodelista">
    <w:name w:val="List Paragraph"/>
    <w:basedOn w:val="Normal"/>
    <w:uiPriority w:val="34"/>
    <w:qFormat/>
    <w:rsid w:val="00E15C72"/>
    <w:pPr>
      <w:spacing w:after="0" w:line="240" w:lineRule="auto"/>
      <w:ind w:left="720"/>
      <w:contextualSpacing/>
    </w:pPr>
    <w:rPr>
      <w:rFonts w:eastAsiaTheme="minorEastAsia"/>
      <w:sz w:val="24"/>
      <w:szCs w:val="24"/>
      <w:lang w:val="en-US"/>
    </w:rPr>
  </w:style>
  <w:style w:type="paragraph" w:styleId="Textonotapie">
    <w:name w:val="footnote text"/>
    <w:basedOn w:val="Normal"/>
    <w:link w:val="TextonotapieCar"/>
    <w:uiPriority w:val="99"/>
    <w:unhideWhenUsed/>
    <w:rsid w:val="00E15C72"/>
    <w:pPr>
      <w:spacing w:after="0" w:line="240" w:lineRule="auto"/>
    </w:pPr>
    <w:rPr>
      <w:rFonts w:eastAsiaTheme="minorEastAsia"/>
      <w:sz w:val="24"/>
      <w:szCs w:val="24"/>
      <w:lang w:val="en-US"/>
    </w:rPr>
  </w:style>
  <w:style w:type="character" w:customStyle="1" w:styleId="TextonotapieCar">
    <w:name w:val="Texto nota pie Car"/>
    <w:basedOn w:val="Fuentedeprrafopredeter"/>
    <w:link w:val="Textonotapie"/>
    <w:uiPriority w:val="99"/>
    <w:rsid w:val="00E15C72"/>
    <w:rPr>
      <w:rFonts w:eastAsiaTheme="minorEastAsia"/>
      <w:sz w:val="24"/>
      <w:szCs w:val="24"/>
      <w:lang w:val="en-US"/>
    </w:rPr>
  </w:style>
  <w:style w:type="character" w:styleId="Refdenotaalpie">
    <w:name w:val="footnote reference"/>
    <w:basedOn w:val="Fuentedeprrafopredeter"/>
    <w:uiPriority w:val="99"/>
    <w:unhideWhenUsed/>
    <w:rsid w:val="00E15C72"/>
    <w:rPr>
      <w:vertAlign w:val="superscript"/>
    </w:rPr>
  </w:style>
  <w:style w:type="character" w:styleId="Hipervnculo">
    <w:name w:val="Hyperlink"/>
    <w:basedOn w:val="Fuentedeprrafopredeter"/>
    <w:uiPriority w:val="99"/>
    <w:unhideWhenUsed/>
    <w:rsid w:val="00E15C72"/>
    <w:rPr>
      <w:color w:val="0000FF" w:themeColor="hyperlink"/>
      <w:u w:val="single"/>
    </w:rPr>
  </w:style>
  <w:style w:type="table" w:styleId="Tablaconcuadrcula">
    <w:name w:val="Table Grid"/>
    <w:basedOn w:val="Tablanormal"/>
    <w:uiPriority w:val="59"/>
    <w:rsid w:val="00C3492E"/>
    <w:pPr>
      <w:spacing w:after="0" w:line="240" w:lineRule="auto"/>
    </w:pPr>
    <w:rPr>
      <w:rFonts w:eastAsiaTheme="minorEastAsia"/>
      <w:sz w:val="24"/>
      <w:szCs w:val="24"/>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8606986">
      <w:bodyDiv w:val="1"/>
      <w:marLeft w:val="0"/>
      <w:marRight w:val="0"/>
      <w:marTop w:val="0"/>
      <w:marBottom w:val="0"/>
      <w:divBdr>
        <w:top w:val="none" w:sz="0" w:space="0" w:color="auto"/>
        <w:left w:val="none" w:sz="0" w:space="0" w:color="auto"/>
        <w:bottom w:val="none" w:sz="0" w:space="0" w:color="auto"/>
        <w:right w:val="none" w:sz="0" w:space="0" w:color="auto"/>
      </w:divBdr>
      <w:divsChild>
        <w:div w:id="2113931381">
          <w:marLeft w:val="1584"/>
          <w:marRight w:val="0"/>
          <w:marTop w:val="106"/>
          <w:marBottom w:val="0"/>
          <w:divBdr>
            <w:top w:val="none" w:sz="0" w:space="0" w:color="auto"/>
            <w:left w:val="none" w:sz="0" w:space="0" w:color="auto"/>
            <w:bottom w:val="none" w:sz="0" w:space="0" w:color="auto"/>
            <w:right w:val="none" w:sz="0" w:space="0" w:color="auto"/>
          </w:divBdr>
        </w:div>
        <w:div w:id="2125999227">
          <w:marLeft w:val="1584"/>
          <w:marRight w:val="0"/>
          <w:marTop w:val="106"/>
          <w:marBottom w:val="0"/>
          <w:divBdr>
            <w:top w:val="none" w:sz="0" w:space="0" w:color="auto"/>
            <w:left w:val="none" w:sz="0" w:space="0" w:color="auto"/>
            <w:bottom w:val="none" w:sz="0" w:space="0" w:color="auto"/>
            <w:right w:val="none" w:sz="0" w:space="0" w:color="auto"/>
          </w:divBdr>
        </w:div>
        <w:div w:id="2042657925">
          <w:marLeft w:val="1584"/>
          <w:marRight w:val="0"/>
          <w:marTop w:val="106"/>
          <w:marBottom w:val="0"/>
          <w:divBdr>
            <w:top w:val="none" w:sz="0" w:space="0" w:color="auto"/>
            <w:left w:val="none" w:sz="0" w:space="0" w:color="auto"/>
            <w:bottom w:val="none" w:sz="0" w:space="0" w:color="auto"/>
            <w:right w:val="none" w:sz="0" w:space="0" w:color="auto"/>
          </w:divBdr>
        </w:div>
        <w:div w:id="824735435">
          <w:marLeft w:val="1584"/>
          <w:marRight w:val="0"/>
          <w:marTop w:val="106"/>
          <w:marBottom w:val="0"/>
          <w:divBdr>
            <w:top w:val="none" w:sz="0" w:space="0" w:color="auto"/>
            <w:left w:val="none" w:sz="0" w:space="0" w:color="auto"/>
            <w:bottom w:val="none" w:sz="0" w:space="0" w:color="auto"/>
            <w:right w:val="none" w:sz="0" w:space="0" w:color="auto"/>
          </w:divBdr>
        </w:div>
        <w:div w:id="1789616719">
          <w:marLeft w:val="1584"/>
          <w:marRight w:val="0"/>
          <w:marTop w:val="106"/>
          <w:marBottom w:val="0"/>
          <w:divBdr>
            <w:top w:val="none" w:sz="0" w:space="0" w:color="auto"/>
            <w:left w:val="none" w:sz="0" w:space="0" w:color="auto"/>
            <w:bottom w:val="none" w:sz="0" w:space="0" w:color="auto"/>
            <w:right w:val="none" w:sz="0" w:space="0" w:color="auto"/>
          </w:divBdr>
        </w:div>
        <w:div w:id="130638332">
          <w:marLeft w:val="1584"/>
          <w:marRight w:val="0"/>
          <w:marTop w:val="106"/>
          <w:marBottom w:val="0"/>
          <w:divBdr>
            <w:top w:val="none" w:sz="0" w:space="0" w:color="auto"/>
            <w:left w:val="none" w:sz="0" w:space="0" w:color="auto"/>
            <w:bottom w:val="none" w:sz="0" w:space="0" w:color="auto"/>
            <w:right w:val="none" w:sz="0" w:space="0" w:color="auto"/>
          </w:divBdr>
        </w:div>
      </w:divsChild>
    </w:div>
    <w:div w:id="1084376812">
      <w:bodyDiv w:val="1"/>
      <w:marLeft w:val="0"/>
      <w:marRight w:val="0"/>
      <w:marTop w:val="0"/>
      <w:marBottom w:val="0"/>
      <w:divBdr>
        <w:top w:val="none" w:sz="0" w:space="0" w:color="auto"/>
        <w:left w:val="none" w:sz="0" w:space="0" w:color="auto"/>
        <w:bottom w:val="none" w:sz="0" w:space="0" w:color="auto"/>
        <w:right w:val="none" w:sz="0" w:space="0" w:color="auto"/>
      </w:divBdr>
    </w:div>
    <w:div w:id="1517040984">
      <w:bodyDiv w:val="1"/>
      <w:marLeft w:val="0"/>
      <w:marRight w:val="0"/>
      <w:marTop w:val="0"/>
      <w:marBottom w:val="0"/>
      <w:divBdr>
        <w:top w:val="none" w:sz="0" w:space="0" w:color="auto"/>
        <w:left w:val="none" w:sz="0" w:space="0" w:color="auto"/>
        <w:bottom w:val="none" w:sz="0" w:space="0" w:color="auto"/>
        <w:right w:val="none" w:sz="0" w:space="0" w:color="auto"/>
      </w:divBdr>
      <w:divsChild>
        <w:div w:id="1486043095">
          <w:marLeft w:val="1584"/>
          <w:marRight w:val="0"/>
          <w:marTop w:val="0"/>
          <w:marBottom w:val="0"/>
          <w:divBdr>
            <w:top w:val="none" w:sz="0" w:space="0" w:color="auto"/>
            <w:left w:val="none" w:sz="0" w:space="0" w:color="auto"/>
            <w:bottom w:val="none" w:sz="0" w:space="0" w:color="auto"/>
            <w:right w:val="none" w:sz="0" w:space="0" w:color="auto"/>
          </w:divBdr>
        </w:div>
        <w:div w:id="1287345537">
          <w:marLeft w:val="15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www.imss.gob.mx/sites/all/statics/pdf/codigoconduc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mss.gob.mx/sites/all/statics/pdf/codigoconduc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9E96B93-F307-4FA2-AAB2-411EFD6472CC}"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es-ES"/>
        </a:p>
      </dgm:t>
    </dgm:pt>
    <dgm:pt modelId="{63F2CFF9-5841-4F2C-BDCF-CA32687C0089}">
      <dgm:prSet phldrT="[Texto]" custT="1"/>
      <dgm:spPr/>
      <dgm:t>
        <a:bodyPr/>
        <a:lstStyle/>
        <a:p>
          <a:r>
            <a:rPr lang="es-ES" sz="2400"/>
            <a:t>Modelos</a:t>
          </a:r>
        </a:p>
      </dgm:t>
    </dgm:pt>
    <dgm:pt modelId="{B9E369A9-86CD-4BAB-8BEF-2E228E04E65C}" type="parTrans" cxnId="{FE30E0CC-601D-4EBB-9EF0-40A4FBC18BFE}">
      <dgm:prSet/>
      <dgm:spPr/>
      <dgm:t>
        <a:bodyPr/>
        <a:lstStyle/>
        <a:p>
          <a:endParaRPr lang="es-ES"/>
        </a:p>
      </dgm:t>
    </dgm:pt>
    <dgm:pt modelId="{66791C0E-1688-45DE-9425-726E616C6A9B}" type="sibTrans" cxnId="{FE30E0CC-601D-4EBB-9EF0-40A4FBC18BFE}">
      <dgm:prSet/>
      <dgm:spPr/>
      <dgm:t>
        <a:bodyPr/>
        <a:lstStyle/>
        <a:p>
          <a:endParaRPr lang="es-ES"/>
        </a:p>
      </dgm:t>
    </dgm:pt>
    <dgm:pt modelId="{22F31068-85A2-4FDE-ADD0-7B79A83D0DE5}">
      <dgm:prSet phldrT="[Texto]" custT="1"/>
      <dgm:spPr/>
      <dgm:t>
        <a:bodyPr/>
        <a:lstStyle/>
        <a:p>
          <a:r>
            <a:rPr lang="es-ES" sz="1200" b="1"/>
            <a:t>Administrativos</a:t>
          </a:r>
        </a:p>
        <a:p>
          <a:r>
            <a:rPr lang="es-ES" sz="1200"/>
            <a:t>Modernización</a:t>
          </a:r>
        </a:p>
        <a:p>
          <a:r>
            <a:rPr lang="es-ES" sz="1200"/>
            <a:t>Diseño de stock máximo y mínimo</a:t>
          </a:r>
        </a:p>
        <a:p>
          <a:r>
            <a:rPr lang="es-ES" sz="1200"/>
            <a:t>Diseño de indicadores</a:t>
          </a:r>
        </a:p>
        <a:p>
          <a:r>
            <a:rPr lang="es-ES" sz="1200"/>
            <a:t>Automatización de procesod</a:t>
          </a:r>
        </a:p>
        <a:p>
          <a:endParaRPr lang="es-ES" sz="1200"/>
        </a:p>
      </dgm:t>
    </dgm:pt>
    <dgm:pt modelId="{74D1CE18-DF83-4C7A-B5A7-260BD2C1A626}" type="parTrans" cxnId="{E0E172DE-EBEC-49DE-AF3E-A64448221994}">
      <dgm:prSet/>
      <dgm:spPr/>
      <dgm:t>
        <a:bodyPr/>
        <a:lstStyle/>
        <a:p>
          <a:endParaRPr lang="es-ES"/>
        </a:p>
      </dgm:t>
    </dgm:pt>
    <dgm:pt modelId="{96A0DC11-D724-4E40-A698-4418C9192C17}" type="sibTrans" cxnId="{E0E172DE-EBEC-49DE-AF3E-A64448221994}">
      <dgm:prSet/>
      <dgm:spPr/>
      <dgm:t>
        <a:bodyPr/>
        <a:lstStyle/>
        <a:p>
          <a:endParaRPr lang="es-ES"/>
        </a:p>
      </dgm:t>
    </dgm:pt>
    <dgm:pt modelId="{4AC2C370-A470-4080-9DB3-F0FA1CC5B5E8}">
      <dgm:prSet phldrT="[Texto]" custT="1"/>
      <dgm:spPr/>
      <dgm:t>
        <a:bodyPr/>
        <a:lstStyle/>
        <a:p>
          <a:r>
            <a:rPr lang="es-ES" sz="2000"/>
            <a:t> </a:t>
          </a:r>
          <a:r>
            <a:rPr lang="es-ES" sz="1200" b="1"/>
            <a:t>Institucionales</a:t>
          </a:r>
        </a:p>
        <a:p>
          <a:r>
            <a:rPr lang="es-ES" sz="1200"/>
            <a:t>Plan estratégico </a:t>
          </a:r>
        </a:p>
        <a:p>
          <a:r>
            <a:rPr lang="es-ES" sz="1200"/>
            <a:t>Plan de equipamiento</a:t>
          </a:r>
        </a:p>
        <a:p>
          <a:r>
            <a:rPr lang="es-ES" sz="1200"/>
            <a:t>Politicas, normas y manuales </a:t>
          </a:r>
        </a:p>
        <a:p>
          <a:r>
            <a:rPr lang="es-ES" sz="1200"/>
            <a:t>Sistema de Abasto Institucional</a:t>
          </a:r>
        </a:p>
        <a:p>
          <a:endParaRPr lang="es-ES" sz="2000"/>
        </a:p>
      </dgm:t>
    </dgm:pt>
    <dgm:pt modelId="{B8615F3C-0259-4313-804C-FE0E0008DF10}" type="parTrans" cxnId="{5F60FB7D-9EA2-4DF6-BC24-D6D02FCC9957}">
      <dgm:prSet/>
      <dgm:spPr/>
      <dgm:t>
        <a:bodyPr/>
        <a:lstStyle/>
        <a:p>
          <a:endParaRPr lang="es-ES"/>
        </a:p>
      </dgm:t>
    </dgm:pt>
    <dgm:pt modelId="{770772E4-35E3-429B-B836-406C2497B26B}" type="sibTrans" cxnId="{5F60FB7D-9EA2-4DF6-BC24-D6D02FCC9957}">
      <dgm:prSet/>
      <dgm:spPr/>
      <dgm:t>
        <a:bodyPr/>
        <a:lstStyle/>
        <a:p>
          <a:endParaRPr lang="es-ES"/>
        </a:p>
      </dgm:t>
    </dgm:pt>
    <dgm:pt modelId="{10871B8C-BD3F-4C2C-8398-76EF085051E5}">
      <dgm:prSet phldrT="[Texto]" custT="1"/>
      <dgm:spPr/>
      <dgm:t>
        <a:bodyPr/>
        <a:lstStyle/>
        <a:p>
          <a:endParaRPr lang="es-ES" sz="2000"/>
        </a:p>
        <a:p>
          <a:r>
            <a:rPr lang="es-ES" sz="1200" b="1"/>
            <a:t>Recursos humanos</a:t>
          </a:r>
        </a:p>
        <a:p>
          <a:r>
            <a:rPr lang="es-ES" sz="1200"/>
            <a:t>Responsabilidad Social</a:t>
          </a:r>
        </a:p>
        <a:p>
          <a:r>
            <a:rPr lang="es-ES" sz="1200"/>
            <a:t>Transparencia</a:t>
          </a:r>
        </a:p>
        <a:p>
          <a:r>
            <a:rPr lang="es-ES" sz="1200"/>
            <a:t>Capacitación constante</a:t>
          </a:r>
        </a:p>
        <a:p>
          <a:r>
            <a:rPr lang="es-ES" sz="1200"/>
            <a:t>Procedimiento de contratación</a:t>
          </a:r>
        </a:p>
        <a:p>
          <a:endParaRPr lang="es-ES" sz="1600"/>
        </a:p>
        <a:p>
          <a:r>
            <a:rPr lang="es-ES" sz="2000"/>
            <a:t> </a:t>
          </a:r>
        </a:p>
      </dgm:t>
    </dgm:pt>
    <dgm:pt modelId="{0E5774C2-403C-4D73-A918-60B7345CCD98}" type="parTrans" cxnId="{6849B8A8-A43A-46D3-AE29-42067818B51E}">
      <dgm:prSet/>
      <dgm:spPr/>
      <dgm:t>
        <a:bodyPr/>
        <a:lstStyle/>
        <a:p>
          <a:endParaRPr lang="es-ES"/>
        </a:p>
      </dgm:t>
    </dgm:pt>
    <dgm:pt modelId="{6CD1BB1B-7E51-40CB-9950-C536BBB47FAF}" type="sibTrans" cxnId="{6849B8A8-A43A-46D3-AE29-42067818B51E}">
      <dgm:prSet/>
      <dgm:spPr/>
      <dgm:t>
        <a:bodyPr/>
        <a:lstStyle/>
        <a:p>
          <a:endParaRPr lang="es-ES"/>
        </a:p>
      </dgm:t>
    </dgm:pt>
    <dgm:pt modelId="{5759D97E-86E3-410A-A7C8-7566DD13F121}">
      <dgm:prSet phldrT="[Texto]" custT="1"/>
      <dgm:spPr/>
      <dgm:t>
        <a:bodyPr/>
        <a:lstStyle/>
        <a:p>
          <a:r>
            <a:rPr lang="es-ES" sz="1200" b="1"/>
            <a:t>Económicos</a:t>
          </a:r>
        </a:p>
        <a:p>
          <a:r>
            <a:rPr lang="es-ES" sz="1200"/>
            <a:t>Estrategías de abasto</a:t>
          </a:r>
        </a:p>
        <a:p>
          <a:r>
            <a:rPr lang="es-ES" sz="1200"/>
            <a:t>Evaluación contable</a:t>
          </a:r>
        </a:p>
        <a:p>
          <a:r>
            <a:rPr lang="es-ES" sz="1200"/>
            <a:t>Evaluación presupuestal</a:t>
          </a:r>
        </a:p>
      </dgm:t>
    </dgm:pt>
    <dgm:pt modelId="{E1FED99C-D953-4ADF-A169-E9B2193EF284}" type="parTrans" cxnId="{E77793A5-15FA-454C-94ED-BCBF01BE2106}">
      <dgm:prSet/>
      <dgm:spPr/>
      <dgm:t>
        <a:bodyPr/>
        <a:lstStyle/>
        <a:p>
          <a:endParaRPr lang="es-ES"/>
        </a:p>
      </dgm:t>
    </dgm:pt>
    <dgm:pt modelId="{F730E0FF-0731-4CFA-8F3F-DDF829E8C79E}" type="sibTrans" cxnId="{E77793A5-15FA-454C-94ED-BCBF01BE2106}">
      <dgm:prSet/>
      <dgm:spPr/>
      <dgm:t>
        <a:bodyPr/>
        <a:lstStyle/>
        <a:p>
          <a:endParaRPr lang="es-ES"/>
        </a:p>
      </dgm:t>
    </dgm:pt>
    <dgm:pt modelId="{479B695D-18C5-403F-BC58-70D99E77BE37}" type="pres">
      <dgm:prSet presAssocID="{29E96B93-F307-4FA2-AAB2-411EFD6472CC}" presName="diagram" presStyleCnt="0">
        <dgm:presLayoutVars>
          <dgm:chMax val="1"/>
          <dgm:dir/>
          <dgm:animLvl val="ctr"/>
          <dgm:resizeHandles val="exact"/>
        </dgm:presLayoutVars>
      </dgm:prSet>
      <dgm:spPr/>
      <dgm:t>
        <a:bodyPr/>
        <a:lstStyle/>
        <a:p>
          <a:endParaRPr lang="es-ES"/>
        </a:p>
      </dgm:t>
    </dgm:pt>
    <dgm:pt modelId="{38A2D897-8E2D-4293-8FEF-83DB3AEDC014}" type="pres">
      <dgm:prSet presAssocID="{29E96B93-F307-4FA2-AAB2-411EFD6472CC}" presName="matrix" presStyleCnt="0"/>
      <dgm:spPr/>
    </dgm:pt>
    <dgm:pt modelId="{ADD0B1ED-A88E-4BB1-A3F4-2E841B0BAE8B}" type="pres">
      <dgm:prSet presAssocID="{29E96B93-F307-4FA2-AAB2-411EFD6472CC}" presName="tile1" presStyleLbl="node1" presStyleIdx="0" presStyleCnt="4"/>
      <dgm:spPr/>
      <dgm:t>
        <a:bodyPr/>
        <a:lstStyle/>
        <a:p>
          <a:endParaRPr lang="es-ES"/>
        </a:p>
      </dgm:t>
    </dgm:pt>
    <dgm:pt modelId="{E5B0295B-D269-4DD4-B603-1F42F94A6A70}" type="pres">
      <dgm:prSet presAssocID="{29E96B93-F307-4FA2-AAB2-411EFD6472CC}" presName="tile1text" presStyleLbl="node1" presStyleIdx="0" presStyleCnt="4">
        <dgm:presLayoutVars>
          <dgm:chMax val="0"/>
          <dgm:chPref val="0"/>
          <dgm:bulletEnabled val="1"/>
        </dgm:presLayoutVars>
      </dgm:prSet>
      <dgm:spPr/>
      <dgm:t>
        <a:bodyPr/>
        <a:lstStyle/>
        <a:p>
          <a:endParaRPr lang="es-ES"/>
        </a:p>
      </dgm:t>
    </dgm:pt>
    <dgm:pt modelId="{8A5DB68D-CD42-4478-9704-981A6037A589}" type="pres">
      <dgm:prSet presAssocID="{29E96B93-F307-4FA2-AAB2-411EFD6472CC}" presName="tile2" presStyleLbl="node1" presStyleIdx="1" presStyleCnt="4"/>
      <dgm:spPr/>
      <dgm:t>
        <a:bodyPr/>
        <a:lstStyle/>
        <a:p>
          <a:endParaRPr lang="es-ES"/>
        </a:p>
      </dgm:t>
    </dgm:pt>
    <dgm:pt modelId="{A7D32BBA-30D0-475B-A8C5-3FCEC929D4B1}" type="pres">
      <dgm:prSet presAssocID="{29E96B93-F307-4FA2-AAB2-411EFD6472CC}" presName="tile2text" presStyleLbl="node1" presStyleIdx="1" presStyleCnt="4">
        <dgm:presLayoutVars>
          <dgm:chMax val="0"/>
          <dgm:chPref val="0"/>
          <dgm:bulletEnabled val="1"/>
        </dgm:presLayoutVars>
      </dgm:prSet>
      <dgm:spPr/>
      <dgm:t>
        <a:bodyPr/>
        <a:lstStyle/>
        <a:p>
          <a:endParaRPr lang="es-ES"/>
        </a:p>
      </dgm:t>
    </dgm:pt>
    <dgm:pt modelId="{2A0B9095-DDF3-45E1-84B5-04203822A120}" type="pres">
      <dgm:prSet presAssocID="{29E96B93-F307-4FA2-AAB2-411EFD6472CC}" presName="tile3" presStyleLbl="node1" presStyleIdx="2" presStyleCnt="4"/>
      <dgm:spPr/>
      <dgm:t>
        <a:bodyPr/>
        <a:lstStyle/>
        <a:p>
          <a:endParaRPr lang="es-ES"/>
        </a:p>
      </dgm:t>
    </dgm:pt>
    <dgm:pt modelId="{B3660023-9B4F-44E3-AE37-77DE98251E47}" type="pres">
      <dgm:prSet presAssocID="{29E96B93-F307-4FA2-AAB2-411EFD6472CC}" presName="tile3text" presStyleLbl="node1" presStyleIdx="2" presStyleCnt="4">
        <dgm:presLayoutVars>
          <dgm:chMax val="0"/>
          <dgm:chPref val="0"/>
          <dgm:bulletEnabled val="1"/>
        </dgm:presLayoutVars>
      </dgm:prSet>
      <dgm:spPr/>
      <dgm:t>
        <a:bodyPr/>
        <a:lstStyle/>
        <a:p>
          <a:endParaRPr lang="es-ES"/>
        </a:p>
      </dgm:t>
    </dgm:pt>
    <dgm:pt modelId="{2E8C0F1D-3FCB-4AF6-8ACE-BC7634DE9506}" type="pres">
      <dgm:prSet presAssocID="{29E96B93-F307-4FA2-AAB2-411EFD6472CC}" presName="tile4" presStyleLbl="node1" presStyleIdx="3" presStyleCnt="4"/>
      <dgm:spPr/>
      <dgm:t>
        <a:bodyPr/>
        <a:lstStyle/>
        <a:p>
          <a:endParaRPr lang="es-ES"/>
        </a:p>
      </dgm:t>
    </dgm:pt>
    <dgm:pt modelId="{2AABE7FB-0A41-4B8A-B7D6-1B0AD798B49C}" type="pres">
      <dgm:prSet presAssocID="{29E96B93-F307-4FA2-AAB2-411EFD6472CC}" presName="tile4text" presStyleLbl="node1" presStyleIdx="3" presStyleCnt="4">
        <dgm:presLayoutVars>
          <dgm:chMax val="0"/>
          <dgm:chPref val="0"/>
          <dgm:bulletEnabled val="1"/>
        </dgm:presLayoutVars>
      </dgm:prSet>
      <dgm:spPr/>
      <dgm:t>
        <a:bodyPr/>
        <a:lstStyle/>
        <a:p>
          <a:endParaRPr lang="es-ES"/>
        </a:p>
      </dgm:t>
    </dgm:pt>
    <dgm:pt modelId="{89EAA4EE-7106-4A0D-82F4-AAB83075CE21}" type="pres">
      <dgm:prSet presAssocID="{29E96B93-F307-4FA2-AAB2-411EFD6472CC}" presName="centerTile" presStyleLbl="fgShp" presStyleIdx="0" presStyleCnt="1">
        <dgm:presLayoutVars>
          <dgm:chMax val="0"/>
          <dgm:chPref val="0"/>
        </dgm:presLayoutVars>
      </dgm:prSet>
      <dgm:spPr/>
      <dgm:t>
        <a:bodyPr/>
        <a:lstStyle/>
        <a:p>
          <a:endParaRPr lang="es-ES"/>
        </a:p>
      </dgm:t>
    </dgm:pt>
  </dgm:ptLst>
  <dgm:cxnLst>
    <dgm:cxn modelId="{C24AD8D2-DD0D-4C2D-95DB-06D653A3616A}" type="presOf" srcId="{22F31068-85A2-4FDE-ADD0-7B79A83D0DE5}" destId="{ADD0B1ED-A88E-4BB1-A3F4-2E841B0BAE8B}" srcOrd="0" destOrd="0" presId="urn:microsoft.com/office/officeart/2005/8/layout/matrix1"/>
    <dgm:cxn modelId="{FE30E0CC-601D-4EBB-9EF0-40A4FBC18BFE}" srcId="{29E96B93-F307-4FA2-AAB2-411EFD6472CC}" destId="{63F2CFF9-5841-4F2C-BDCF-CA32687C0089}" srcOrd="0" destOrd="0" parTransId="{B9E369A9-86CD-4BAB-8BEF-2E228E04E65C}" sibTransId="{66791C0E-1688-45DE-9425-726E616C6A9B}"/>
    <dgm:cxn modelId="{E77793A5-15FA-454C-94ED-BCBF01BE2106}" srcId="{63F2CFF9-5841-4F2C-BDCF-CA32687C0089}" destId="{5759D97E-86E3-410A-A7C8-7566DD13F121}" srcOrd="3" destOrd="0" parTransId="{E1FED99C-D953-4ADF-A169-E9B2193EF284}" sibTransId="{F730E0FF-0731-4CFA-8F3F-DDF829E8C79E}"/>
    <dgm:cxn modelId="{ADF26B93-A0A6-414C-88EA-814B5FC61228}" type="presOf" srcId="{22F31068-85A2-4FDE-ADD0-7B79A83D0DE5}" destId="{E5B0295B-D269-4DD4-B603-1F42F94A6A70}" srcOrd="1" destOrd="0" presId="urn:microsoft.com/office/officeart/2005/8/layout/matrix1"/>
    <dgm:cxn modelId="{DF271ED4-FE14-4E13-837E-D89CE1796074}" type="presOf" srcId="{4AC2C370-A470-4080-9DB3-F0FA1CC5B5E8}" destId="{A7D32BBA-30D0-475B-A8C5-3FCEC929D4B1}" srcOrd="1" destOrd="0" presId="urn:microsoft.com/office/officeart/2005/8/layout/matrix1"/>
    <dgm:cxn modelId="{6D4FCEAC-1357-4C9B-A936-5737CE13C5F9}" type="presOf" srcId="{29E96B93-F307-4FA2-AAB2-411EFD6472CC}" destId="{479B695D-18C5-403F-BC58-70D99E77BE37}" srcOrd="0" destOrd="0" presId="urn:microsoft.com/office/officeart/2005/8/layout/matrix1"/>
    <dgm:cxn modelId="{5F60FB7D-9EA2-4DF6-BC24-D6D02FCC9957}" srcId="{63F2CFF9-5841-4F2C-BDCF-CA32687C0089}" destId="{4AC2C370-A470-4080-9DB3-F0FA1CC5B5E8}" srcOrd="1" destOrd="0" parTransId="{B8615F3C-0259-4313-804C-FE0E0008DF10}" sibTransId="{770772E4-35E3-429B-B836-406C2497B26B}"/>
    <dgm:cxn modelId="{80FB09DF-DA6E-4B9E-AFCB-7605CA4BF694}" type="presOf" srcId="{10871B8C-BD3F-4C2C-8398-76EF085051E5}" destId="{B3660023-9B4F-44E3-AE37-77DE98251E47}" srcOrd="1" destOrd="0" presId="urn:microsoft.com/office/officeart/2005/8/layout/matrix1"/>
    <dgm:cxn modelId="{DC4FAA47-BB62-499B-A721-47547F5F5BB4}" type="presOf" srcId="{5759D97E-86E3-410A-A7C8-7566DD13F121}" destId="{2E8C0F1D-3FCB-4AF6-8ACE-BC7634DE9506}" srcOrd="0" destOrd="0" presId="urn:microsoft.com/office/officeart/2005/8/layout/matrix1"/>
    <dgm:cxn modelId="{E0E172DE-EBEC-49DE-AF3E-A64448221994}" srcId="{63F2CFF9-5841-4F2C-BDCF-CA32687C0089}" destId="{22F31068-85A2-4FDE-ADD0-7B79A83D0DE5}" srcOrd="0" destOrd="0" parTransId="{74D1CE18-DF83-4C7A-B5A7-260BD2C1A626}" sibTransId="{96A0DC11-D724-4E40-A698-4418C9192C17}"/>
    <dgm:cxn modelId="{326EDD1A-4036-461A-8347-CF9581234607}" type="presOf" srcId="{5759D97E-86E3-410A-A7C8-7566DD13F121}" destId="{2AABE7FB-0A41-4B8A-B7D6-1B0AD798B49C}" srcOrd="1" destOrd="0" presId="urn:microsoft.com/office/officeart/2005/8/layout/matrix1"/>
    <dgm:cxn modelId="{F7C2AE34-EB3D-4354-817C-58653A5D8D86}" type="presOf" srcId="{4AC2C370-A470-4080-9DB3-F0FA1CC5B5E8}" destId="{8A5DB68D-CD42-4478-9704-981A6037A589}" srcOrd="0" destOrd="0" presId="urn:microsoft.com/office/officeart/2005/8/layout/matrix1"/>
    <dgm:cxn modelId="{EB496F5A-775A-418A-A693-283FD160F7DB}" type="presOf" srcId="{63F2CFF9-5841-4F2C-BDCF-CA32687C0089}" destId="{89EAA4EE-7106-4A0D-82F4-AAB83075CE21}" srcOrd="0" destOrd="0" presId="urn:microsoft.com/office/officeart/2005/8/layout/matrix1"/>
    <dgm:cxn modelId="{8A063946-4968-43B4-A427-E6761B992956}" type="presOf" srcId="{10871B8C-BD3F-4C2C-8398-76EF085051E5}" destId="{2A0B9095-DDF3-45E1-84B5-04203822A120}" srcOrd="0" destOrd="0" presId="urn:microsoft.com/office/officeart/2005/8/layout/matrix1"/>
    <dgm:cxn modelId="{6849B8A8-A43A-46D3-AE29-42067818B51E}" srcId="{63F2CFF9-5841-4F2C-BDCF-CA32687C0089}" destId="{10871B8C-BD3F-4C2C-8398-76EF085051E5}" srcOrd="2" destOrd="0" parTransId="{0E5774C2-403C-4D73-A918-60B7345CCD98}" sibTransId="{6CD1BB1B-7E51-40CB-9950-C536BBB47FAF}"/>
    <dgm:cxn modelId="{66F9FBA9-00B2-4BF6-9727-2DF2C7FEF66B}" type="presParOf" srcId="{479B695D-18C5-403F-BC58-70D99E77BE37}" destId="{38A2D897-8E2D-4293-8FEF-83DB3AEDC014}" srcOrd="0" destOrd="0" presId="urn:microsoft.com/office/officeart/2005/8/layout/matrix1"/>
    <dgm:cxn modelId="{8F6A4A3B-71B6-4DFE-9C60-550A17995B8F}" type="presParOf" srcId="{38A2D897-8E2D-4293-8FEF-83DB3AEDC014}" destId="{ADD0B1ED-A88E-4BB1-A3F4-2E841B0BAE8B}" srcOrd="0" destOrd="0" presId="urn:microsoft.com/office/officeart/2005/8/layout/matrix1"/>
    <dgm:cxn modelId="{F94FB487-1CE8-47D5-BCE9-6DDFCBFC206B}" type="presParOf" srcId="{38A2D897-8E2D-4293-8FEF-83DB3AEDC014}" destId="{E5B0295B-D269-4DD4-B603-1F42F94A6A70}" srcOrd="1" destOrd="0" presId="urn:microsoft.com/office/officeart/2005/8/layout/matrix1"/>
    <dgm:cxn modelId="{527916CE-58F4-4185-AC6E-6ADE14531F2B}" type="presParOf" srcId="{38A2D897-8E2D-4293-8FEF-83DB3AEDC014}" destId="{8A5DB68D-CD42-4478-9704-981A6037A589}" srcOrd="2" destOrd="0" presId="urn:microsoft.com/office/officeart/2005/8/layout/matrix1"/>
    <dgm:cxn modelId="{C3AEA85F-51D7-497A-B82B-1A08F594FCA8}" type="presParOf" srcId="{38A2D897-8E2D-4293-8FEF-83DB3AEDC014}" destId="{A7D32BBA-30D0-475B-A8C5-3FCEC929D4B1}" srcOrd="3" destOrd="0" presId="urn:microsoft.com/office/officeart/2005/8/layout/matrix1"/>
    <dgm:cxn modelId="{7EFEC511-E7E3-4211-BB6E-D5088220540A}" type="presParOf" srcId="{38A2D897-8E2D-4293-8FEF-83DB3AEDC014}" destId="{2A0B9095-DDF3-45E1-84B5-04203822A120}" srcOrd="4" destOrd="0" presId="urn:microsoft.com/office/officeart/2005/8/layout/matrix1"/>
    <dgm:cxn modelId="{46F3EAFF-F4A5-4417-B553-AD43084D1B8A}" type="presParOf" srcId="{38A2D897-8E2D-4293-8FEF-83DB3AEDC014}" destId="{B3660023-9B4F-44E3-AE37-77DE98251E47}" srcOrd="5" destOrd="0" presId="urn:microsoft.com/office/officeart/2005/8/layout/matrix1"/>
    <dgm:cxn modelId="{42F68DCB-B567-47C2-AA8A-608C1B71D356}" type="presParOf" srcId="{38A2D897-8E2D-4293-8FEF-83DB3AEDC014}" destId="{2E8C0F1D-3FCB-4AF6-8ACE-BC7634DE9506}" srcOrd="6" destOrd="0" presId="urn:microsoft.com/office/officeart/2005/8/layout/matrix1"/>
    <dgm:cxn modelId="{0261998A-E50C-435A-9718-8AD31F51A7CC}" type="presParOf" srcId="{38A2D897-8E2D-4293-8FEF-83DB3AEDC014}" destId="{2AABE7FB-0A41-4B8A-B7D6-1B0AD798B49C}" srcOrd="7" destOrd="0" presId="urn:microsoft.com/office/officeart/2005/8/layout/matrix1"/>
    <dgm:cxn modelId="{580E61F7-4CC3-4A4E-9DF1-501CC058DDC9}" type="presParOf" srcId="{479B695D-18C5-403F-BC58-70D99E77BE37}" destId="{89EAA4EE-7106-4A0D-82F4-AAB83075CE21}" srcOrd="1" destOrd="0" presId="urn:microsoft.com/office/officeart/2005/8/layout/matrix1"/>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D0B1ED-A88E-4BB1-A3F4-2E841B0BAE8B}">
      <dsp:nvSpPr>
        <dsp:cNvPr id="0" name=""/>
        <dsp:cNvSpPr/>
      </dsp:nvSpPr>
      <dsp:spPr>
        <a:xfrm rot="16200000">
          <a:off x="207999" y="-207999"/>
          <a:ext cx="2329637" cy="2745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b="1" kern="1200"/>
            <a:t>Administrativos</a:t>
          </a:r>
        </a:p>
        <a:p>
          <a:pPr lvl="0" algn="ctr" defTabSz="533400">
            <a:lnSpc>
              <a:spcPct val="90000"/>
            </a:lnSpc>
            <a:spcBef>
              <a:spcPct val="0"/>
            </a:spcBef>
            <a:spcAft>
              <a:spcPct val="35000"/>
            </a:spcAft>
          </a:pPr>
          <a:r>
            <a:rPr lang="es-ES" sz="1200" kern="1200"/>
            <a:t>Modernización</a:t>
          </a:r>
        </a:p>
        <a:p>
          <a:pPr lvl="0" algn="ctr" defTabSz="533400">
            <a:lnSpc>
              <a:spcPct val="90000"/>
            </a:lnSpc>
            <a:spcBef>
              <a:spcPct val="0"/>
            </a:spcBef>
            <a:spcAft>
              <a:spcPct val="35000"/>
            </a:spcAft>
          </a:pPr>
          <a:r>
            <a:rPr lang="es-ES" sz="1200" kern="1200"/>
            <a:t>Diseño de stock máximo y mínimo</a:t>
          </a:r>
        </a:p>
        <a:p>
          <a:pPr lvl="0" algn="ctr" defTabSz="533400">
            <a:lnSpc>
              <a:spcPct val="90000"/>
            </a:lnSpc>
            <a:spcBef>
              <a:spcPct val="0"/>
            </a:spcBef>
            <a:spcAft>
              <a:spcPct val="35000"/>
            </a:spcAft>
          </a:pPr>
          <a:r>
            <a:rPr lang="es-ES" sz="1200" kern="1200"/>
            <a:t>Diseño de indicadores</a:t>
          </a:r>
        </a:p>
        <a:p>
          <a:pPr lvl="0" algn="ctr" defTabSz="533400">
            <a:lnSpc>
              <a:spcPct val="90000"/>
            </a:lnSpc>
            <a:spcBef>
              <a:spcPct val="0"/>
            </a:spcBef>
            <a:spcAft>
              <a:spcPct val="35000"/>
            </a:spcAft>
          </a:pPr>
          <a:r>
            <a:rPr lang="es-ES" sz="1200" kern="1200"/>
            <a:t>Automatización de procesod</a:t>
          </a:r>
        </a:p>
        <a:p>
          <a:pPr lvl="0" algn="ctr" defTabSz="533400">
            <a:lnSpc>
              <a:spcPct val="90000"/>
            </a:lnSpc>
            <a:spcBef>
              <a:spcPct val="0"/>
            </a:spcBef>
            <a:spcAft>
              <a:spcPct val="35000"/>
            </a:spcAft>
          </a:pPr>
          <a:endParaRPr lang="es-ES" sz="1200" kern="1200"/>
        </a:p>
      </dsp:txBody>
      <dsp:txXfrm rot="16200000">
        <a:off x="499204" y="-499204"/>
        <a:ext cx="1747228" cy="2745637"/>
      </dsp:txXfrm>
    </dsp:sp>
    <dsp:sp modelId="{8A5DB68D-CD42-4478-9704-981A6037A589}">
      <dsp:nvSpPr>
        <dsp:cNvPr id="0" name=""/>
        <dsp:cNvSpPr/>
      </dsp:nvSpPr>
      <dsp:spPr>
        <a:xfrm>
          <a:off x="2745637" y="0"/>
          <a:ext cx="2745637" cy="2329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s-ES" sz="2000" kern="1200"/>
            <a:t> </a:t>
          </a:r>
          <a:r>
            <a:rPr lang="es-ES" sz="1200" b="1" kern="1200"/>
            <a:t>Institucionales</a:t>
          </a:r>
        </a:p>
        <a:p>
          <a:pPr lvl="0" algn="ctr" defTabSz="889000">
            <a:lnSpc>
              <a:spcPct val="90000"/>
            </a:lnSpc>
            <a:spcBef>
              <a:spcPct val="0"/>
            </a:spcBef>
            <a:spcAft>
              <a:spcPct val="35000"/>
            </a:spcAft>
          </a:pPr>
          <a:r>
            <a:rPr lang="es-ES" sz="1200" kern="1200"/>
            <a:t>Plan estratégico </a:t>
          </a:r>
        </a:p>
        <a:p>
          <a:pPr lvl="0" algn="ctr" defTabSz="889000">
            <a:lnSpc>
              <a:spcPct val="90000"/>
            </a:lnSpc>
            <a:spcBef>
              <a:spcPct val="0"/>
            </a:spcBef>
            <a:spcAft>
              <a:spcPct val="35000"/>
            </a:spcAft>
          </a:pPr>
          <a:r>
            <a:rPr lang="es-ES" sz="1200" kern="1200"/>
            <a:t>Plan de equipamiento</a:t>
          </a:r>
        </a:p>
        <a:p>
          <a:pPr lvl="0" algn="ctr" defTabSz="889000">
            <a:lnSpc>
              <a:spcPct val="90000"/>
            </a:lnSpc>
            <a:spcBef>
              <a:spcPct val="0"/>
            </a:spcBef>
            <a:spcAft>
              <a:spcPct val="35000"/>
            </a:spcAft>
          </a:pPr>
          <a:r>
            <a:rPr lang="es-ES" sz="1200" kern="1200"/>
            <a:t>Politicas, normas y manuales </a:t>
          </a:r>
        </a:p>
        <a:p>
          <a:pPr lvl="0" algn="ctr" defTabSz="889000">
            <a:lnSpc>
              <a:spcPct val="90000"/>
            </a:lnSpc>
            <a:spcBef>
              <a:spcPct val="0"/>
            </a:spcBef>
            <a:spcAft>
              <a:spcPct val="35000"/>
            </a:spcAft>
          </a:pPr>
          <a:r>
            <a:rPr lang="es-ES" sz="1200" kern="1200"/>
            <a:t>Sistema de Abasto Institucional</a:t>
          </a:r>
        </a:p>
        <a:p>
          <a:pPr lvl="0" algn="ctr" defTabSz="889000">
            <a:lnSpc>
              <a:spcPct val="90000"/>
            </a:lnSpc>
            <a:spcBef>
              <a:spcPct val="0"/>
            </a:spcBef>
            <a:spcAft>
              <a:spcPct val="35000"/>
            </a:spcAft>
          </a:pPr>
          <a:endParaRPr lang="es-ES" sz="2000" kern="1200"/>
        </a:p>
      </dsp:txBody>
      <dsp:txXfrm>
        <a:off x="2745637" y="0"/>
        <a:ext cx="2745637" cy="1747228"/>
      </dsp:txXfrm>
    </dsp:sp>
    <dsp:sp modelId="{2A0B9095-DDF3-45E1-84B5-04203822A120}">
      <dsp:nvSpPr>
        <dsp:cNvPr id="0" name=""/>
        <dsp:cNvSpPr/>
      </dsp:nvSpPr>
      <dsp:spPr>
        <a:xfrm rot="10800000">
          <a:off x="0" y="2329637"/>
          <a:ext cx="2745637" cy="2329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endParaRPr lang="es-ES" sz="2000" kern="1200"/>
        </a:p>
        <a:p>
          <a:pPr lvl="0" algn="ctr" defTabSz="889000">
            <a:lnSpc>
              <a:spcPct val="90000"/>
            </a:lnSpc>
            <a:spcBef>
              <a:spcPct val="0"/>
            </a:spcBef>
            <a:spcAft>
              <a:spcPct val="35000"/>
            </a:spcAft>
          </a:pPr>
          <a:r>
            <a:rPr lang="es-ES" sz="1200" b="1" kern="1200"/>
            <a:t>Recursos humanos</a:t>
          </a:r>
        </a:p>
        <a:p>
          <a:pPr lvl="0" algn="ctr" defTabSz="889000">
            <a:lnSpc>
              <a:spcPct val="90000"/>
            </a:lnSpc>
            <a:spcBef>
              <a:spcPct val="0"/>
            </a:spcBef>
            <a:spcAft>
              <a:spcPct val="35000"/>
            </a:spcAft>
          </a:pPr>
          <a:r>
            <a:rPr lang="es-ES" sz="1200" kern="1200"/>
            <a:t>Responsabilidad Social</a:t>
          </a:r>
        </a:p>
        <a:p>
          <a:pPr lvl="0" algn="ctr" defTabSz="889000">
            <a:lnSpc>
              <a:spcPct val="90000"/>
            </a:lnSpc>
            <a:spcBef>
              <a:spcPct val="0"/>
            </a:spcBef>
            <a:spcAft>
              <a:spcPct val="35000"/>
            </a:spcAft>
          </a:pPr>
          <a:r>
            <a:rPr lang="es-ES" sz="1200" kern="1200"/>
            <a:t>Transparencia</a:t>
          </a:r>
        </a:p>
        <a:p>
          <a:pPr lvl="0" algn="ctr" defTabSz="889000">
            <a:lnSpc>
              <a:spcPct val="90000"/>
            </a:lnSpc>
            <a:spcBef>
              <a:spcPct val="0"/>
            </a:spcBef>
            <a:spcAft>
              <a:spcPct val="35000"/>
            </a:spcAft>
          </a:pPr>
          <a:r>
            <a:rPr lang="es-ES" sz="1200" kern="1200"/>
            <a:t>Capacitación constante</a:t>
          </a:r>
        </a:p>
        <a:p>
          <a:pPr lvl="0" algn="ctr" defTabSz="889000">
            <a:lnSpc>
              <a:spcPct val="90000"/>
            </a:lnSpc>
            <a:spcBef>
              <a:spcPct val="0"/>
            </a:spcBef>
            <a:spcAft>
              <a:spcPct val="35000"/>
            </a:spcAft>
          </a:pPr>
          <a:r>
            <a:rPr lang="es-ES" sz="1200" kern="1200"/>
            <a:t>Procedimiento de contratación</a:t>
          </a:r>
        </a:p>
        <a:p>
          <a:pPr lvl="0" algn="ctr" defTabSz="889000">
            <a:lnSpc>
              <a:spcPct val="90000"/>
            </a:lnSpc>
            <a:spcBef>
              <a:spcPct val="0"/>
            </a:spcBef>
            <a:spcAft>
              <a:spcPct val="35000"/>
            </a:spcAft>
          </a:pPr>
          <a:endParaRPr lang="es-ES" sz="1600" kern="1200"/>
        </a:p>
        <a:p>
          <a:pPr lvl="0" algn="ctr" defTabSz="889000">
            <a:lnSpc>
              <a:spcPct val="90000"/>
            </a:lnSpc>
            <a:spcBef>
              <a:spcPct val="0"/>
            </a:spcBef>
            <a:spcAft>
              <a:spcPct val="35000"/>
            </a:spcAft>
          </a:pPr>
          <a:r>
            <a:rPr lang="es-ES" sz="2000" kern="1200"/>
            <a:t> </a:t>
          </a:r>
        </a:p>
      </dsp:txBody>
      <dsp:txXfrm rot="10800000">
        <a:off x="0" y="2912046"/>
        <a:ext cx="2745637" cy="1747228"/>
      </dsp:txXfrm>
    </dsp:sp>
    <dsp:sp modelId="{2E8C0F1D-3FCB-4AF6-8ACE-BC7634DE9506}">
      <dsp:nvSpPr>
        <dsp:cNvPr id="0" name=""/>
        <dsp:cNvSpPr/>
      </dsp:nvSpPr>
      <dsp:spPr>
        <a:xfrm rot="5400000">
          <a:off x="2953636" y="2121637"/>
          <a:ext cx="2329637" cy="2745637"/>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b="1" kern="1200"/>
            <a:t>Económicos</a:t>
          </a:r>
        </a:p>
        <a:p>
          <a:pPr lvl="0" algn="ctr" defTabSz="533400">
            <a:lnSpc>
              <a:spcPct val="90000"/>
            </a:lnSpc>
            <a:spcBef>
              <a:spcPct val="0"/>
            </a:spcBef>
            <a:spcAft>
              <a:spcPct val="35000"/>
            </a:spcAft>
          </a:pPr>
          <a:r>
            <a:rPr lang="es-ES" sz="1200" kern="1200"/>
            <a:t>Estrategías de abasto</a:t>
          </a:r>
        </a:p>
        <a:p>
          <a:pPr lvl="0" algn="ctr" defTabSz="533400">
            <a:lnSpc>
              <a:spcPct val="90000"/>
            </a:lnSpc>
            <a:spcBef>
              <a:spcPct val="0"/>
            </a:spcBef>
            <a:spcAft>
              <a:spcPct val="35000"/>
            </a:spcAft>
          </a:pPr>
          <a:r>
            <a:rPr lang="es-ES" sz="1200" kern="1200"/>
            <a:t>Evaluación contable</a:t>
          </a:r>
        </a:p>
        <a:p>
          <a:pPr lvl="0" algn="ctr" defTabSz="533400">
            <a:lnSpc>
              <a:spcPct val="90000"/>
            </a:lnSpc>
            <a:spcBef>
              <a:spcPct val="0"/>
            </a:spcBef>
            <a:spcAft>
              <a:spcPct val="35000"/>
            </a:spcAft>
          </a:pPr>
          <a:r>
            <a:rPr lang="es-ES" sz="1200" kern="1200"/>
            <a:t>Evaluación presupuestal</a:t>
          </a:r>
        </a:p>
      </dsp:txBody>
      <dsp:txXfrm rot="5400000">
        <a:off x="3244841" y="2412842"/>
        <a:ext cx="1747228" cy="2745637"/>
      </dsp:txXfrm>
    </dsp:sp>
    <dsp:sp modelId="{89EAA4EE-7106-4A0D-82F4-AAB83075CE21}">
      <dsp:nvSpPr>
        <dsp:cNvPr id="0" name=""/>
        <dsp:cNvSpPr/>
      </dsp:nvSpPr>
      <dsp:spPr>
        <a:xfrm>
          <a:off x="1921945" y="1747228"/>
          <a:ext cx="1647382" cy="1164818"/>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s-ES" sz="2400" kern="1200"/>
            <a:t>Modelos</a:t>
          </a:r>
        </a:p>
      </dsp:txBody>
      <dsp:txXfrm>
        <a:off x="1921945" y="1747228"/>
        <a:ext cx="1647382" cy="116481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723</Words>
  <Characters>3978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8</cp:revision>
  <dcterms:created xsi:type="dcterms:W3CDTF">2015-08-27T02:06:00Z</dcterms:created>
  <dcterms:modified xsi:type="dcterms:W3CDTF">2015-08-28T03:19:00Z</dcterms:modified>
</cp:coreProperties>
</file>