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1A" w:rsidRPr="0035171A" w:rsidRDefault="0035171A" w:rsidP="0035171A">
      <w:pPr>
        <w:spacing w:after="0" w:line="360" w:lineRule="auto"/>
        <w:ind w:left="26"/>
        <w:jc w:val="right"/>
        <w:rPr>
          <w:rFonts w:ascii="Arial" w:hAnsi="Arial" w:cs="Arial"/>
          <w:b/>
          <w:i/>
          <w:sz w:val="24"/>
          <w:szCs w:val="24"/>
        </w:rPr>
      </w:pPr>
      <w:r w:rsidRPr="0035171A">
        <w:rPr>
          <w:rFonts w:ascii="Arial" w:hAnsi="Arial" w:cs="Arial"/>
          <w:b/>
          <w:i/>
          <w:sz w:val="24"/>
          <w:szCs w:val="24"/>
        </w:rPr>
        <w:t>Evaluación social de proyectos.</w:t>
      </w:r>
    </w:p>
    <w:p w:rsidR="0035171A" w:rsidRPr="00974042" w:rsidRDefault="0035171A" w:rsidP="009B7AFE">
      <w:pPr>
        <w:spacing w:line="360" w:lineRule="auto"/>
        <w:ind w:left="26"/>
        <w:jc w:val="both"/>
        <w:rPr>
          <w:rFonts w:ascii="Arial" w:hAnsi="Arial" w:cs="Arial"/>
          <w:sz w:val="24"/>
          <w:szCs w:val="24"/>
        </w:rPr>
      </w:pPr>
      <w:r>
        <w:rPr>
          <w:rFonts w:ascii="Arial" w:hAnsi="Arial" w:cs="Arial"/>
          <w:sz w:val="24"/>
          <w:szCs w:val="24"/>
        </w:rPr>
        <w:t>La e</w:t>
      </w:r>
      <w:r w:rsidRPr="00F94CBE">
        <w:rPr>
          <w:rFonts w:ascii="Arial" w:hAnsi="Arial" w:cs="Arial"/>
          <w:sz w:val="24"/>
          <w:szCs w:val="24"/>
        </w:rPr>
        <w:t>valuación social de proyectos</w:t>
      </w:r>
      <w:r>
        <w:rPr>
          <w:rFonts w:ascii="Arial" w:hAnsi="Arial" w:cs="Arial"/>
          <w:sz w:val="24"/>
          <w:szCs w:val="24"/>
        </w:rPr>
        <w:t>,</w:t>
      </w:r>
      <w:r w:rsidRPr="00F94CBE">
        <w:rPr>
          <w:rFonts w:ascii="Arial" w:hAnsi="Arial" w:cs="Arial"/>
          <w:sz w:val="24"/>
          <w:szCs w:val="24"/>
        </w:rPr>
        <w:t xml:space="preserve"> </w:t>
      </w:r>
      <w:r w:rsidR="009B7AFE">
        <w:rPr>
          <w:rFonts w:ascii="Arial" w:hAnsi="Arial" w:cs="Arial"/>
          <w:sz w:val="24"/>
          <w:szCs w:val="24"/>
        </w:rPr>
        <w:t>i</w:t>
      </w:r>
      <w:r w:rsidRPr="00F94CBE">
        <w:rPr>
          <w:rFonts w:ascii="Arial" w:hAnsi="Arial" w:cs="Arial"/>
          <w:sz w:val="24"/>
          <w:szCs w:val="24"/>
        </w:rPr>
        <w:t>dentifica y valorar</w:t>
      </w:r>
      <w:r w:rsidR="009B7AFE">
        <w:rPr>
          <w:rFonts w:ascii="Arial" w:hAnsi="Arial" w:cs="Arial"/>
          <w:sz w:val="24"/>
          <w:szCs w:val="24"/>
        </w:rPr>
        <w:t>a</w:t>
      </w:r>
      <w:r w:rsidRPr="00F94CBE">
        <w:rPr>
          <w:rFonts w:ascii="Arial" w:hAnsi="Arial" w:cs="Arial"/>
          <w:sz w:val="24"/>
          <w:szCs w:val="24"/>
        </w:rPr>
        <w:t xml:space="preserve"> los costos y los beneficios de un proyecto o programa para compararlos y decidir la conveniencia de su ejecución.</w:t>
      </w:r>
      <w:r>
        <w:rPr>
          <w:rFonts w:ascii="Arial" w:hAnsi="Arial" w:cs="Arial"/>
          <w:sz w:val="24"/>
          <w:szCs w:val="24"/>
        </w:rPr>
        <w:t xml:space="preserve"> </w:t>
      </w:r>
      <w:r w:rsidR="009B7AFE">
        <w:rPr>
          <w:rFonts w:ascii="Arial" w:hAnsi="Arial" w:cs="Arial"/>
          <w:sz w:val="24"/>
          <w:szCs w:val="24"/>
        </w:rPr>
        <w:t>Para ello es</w:t>
      </w:r>
      <w:r>
        <w:rPr>
          <w:rFonts w:ascii="Arial" w:hAnsi="Arial" w:cs="Arial"/>
          <w:sz w:val="24"/>
          <w:szCs w:val="24"/>
        </w:rPr>
        <w:t>tablecen dos tipos de proyectos de inversión</w:t>
      </w:r>
      <w:r w:rsidR="009B7AFE">
        <w:rPr>
          <w:rFonts w:ascii="Arial" w:hAnsi="Arial" w:cs="Arial"/>
          <w:sz w:val="24"/>
          <w:szCs w:val="24"/>
        </w:rPr>
        <w:t>,</w:t>
      </w:r>
      <w:r>
        <w:rPr>
          <w:rFonts w:ascii="Arial" w:hAnsi="Arial" w:cs="Arial"/>
          <w:sz w:val="24"/>
          <w:szCs w:val="24"/>
        </w:rPr>
        <w:t xml:space="preserve"> para cualquier proceso de análisis, el primero se refiere al sector privado y el segundo al sector publico llamado enfoque social.</w:t>
      </w:r>
    </w:p>
    <w:p w:rsidR="0035171A" w:rsidRDefault="0035171A" w:rsidP="009B7AFE">
      <w:pPr>
        <w:autoSpaceDE w:val="0"/>
        <w:autoSpaceDN w:val="0"/>
        <w:adjustRightInd w:val="0"/>
        <w:spacing w:line="360" w:lineRule="auto"/>
        <w:jc w:val="both"/>
        <w:rPr>
          <w:rFonts w:ascii="Arial" w:hAnsi="Arial" w:cs="Arial"/>
          <w:sz w:val="24"/>
          <w:szCs w:val="24"/>
        </w:rPr>
      </w:pPr>
      <w:r>
        <w:rPr>
          <w:rFonts w:ascii="Arial" w:hAnsi="Arial" w:cs="Arial"/>
          <w:sz w:val="24"/>
          <w:szCs w:val="24"/>
        </w:rPr>
        <w:t>En cuanto al proyecto</w:t>
      </w:r>
      <w:r w:rsidRPr="00F94CBE">
        <w:rPr>
          <w:rFonts w:ascii="Arial" w:hAnsi="Arial" w:cs="Arial"/>
          <w:sz w:val="24"/>
          <w:szCs w:val="24"/>
        </w:rPr>
        <w:t xml:space="preserve"> de inversión social </w:t>
      </w:r>
      <w:r>
        <w:rPr>
          <w:rFonts w:ascii="Arial" w:hAnsi="Arial" w:cs="Arial"/>
          <w:sz w:val="24"/>
          <w:szCs w:val="24"/>
        </w:rPr>
        <w:t>o económico, se dirige</w:t>
      </w:r>
      <w:r w:rsidRPr="00F94CBE">
        <w:rPr>
          <w:rFonts w:ascii="Arial" w:hAnsi="Arial" w:cs="Arial"/>
          <w:sz w:val="24"/>
          <w:szCs w:val="24"/>
        </w:rPr>
        <w:t xml:space="preserve"> a todos los habitantes del país por igual </w:t>
      </w:r>
      <w:r w:rsidRPr="00F94CBE">
        <w:rPr>
          <w:rFonts w:ascii="Arial" w:eastAsiaTheme="minorEastAsia" w:hAnsi="Arial" w:cs="Arial"/>
          <w:sz w:val="24"/>
          <w:szCs w:val="24"/>
        </w:rPr>
        <w:t>analizar</w:t>
      </w:r>
      <w:r>
        <w:rPr>
          <w:rFonts w:ascii="Arial" w:eastAsiaTheme="minorEastAsia" w:hAnsi="Arial" w:cs="Arial"/>
          <w:sz w:val="24"/>
          <w:szCs w:val="24"/>
        </w:rPr>
        <w:t xml:space="preserve"> tomando en cuenta la </w:t>
      </w:r>
      <w:r w:rsidRPr="00F94CBE">
        <w:rPr>
          <w:rFonts w:ascii="Arial" w:eastAsiaTheme="minorEastAsia" w:hAnsi="Arial" w:cs="Arial"/>
          <w:sz w:val="24"/>
          <w:szCs w:val="24"/>
        </w:rPr>
        <w:t xml:space="preserve">metodología </w:t>
      </w:r>
      <w:r>
        <w:rPr>
          <w:rFonts w:ascii="Arial" w:eastAsiaTheme="minorEastAsia" w:hAnsi="Arial" w:cs="Arial"/>
          <w:sz w:val="24"/>
          <w:szCs w:val="24"/>
        </w:rPr>
        <w:t>del análisis costo-beneficio. Así pues, una e</w:t>
      </w:r>
      <w:r w:rsidRPr="00D83C90">
        <w:rPr>
          <w:rFonts w:ascii="Arial" w:hAnsi="Arial" w:cs="Arial"/>
          <w:sz w:val="24"/>
          <w:szCs w:val="24"/>
        </w:rPr>
        <w:t>valuación social intenta analizar el proyecto desde el punto de vista de la sociedad</w:t>
      </w:r>
      <w:r>
        <w:rPr>
          <w:rFonts w:ascii="Arial" w:hAnsi="Arial" w:cs="Arial"/>
          <w:sz w:val="24"/>
          <w:szCs w:val="24"/>
        </w:rPr>
        <w:t xml:space="preserve">. Ahora bien, en </w:t>
      </w:r>
      <w:r>
        <w:rPr>
          <w:rFonts w:ascii="Arial" w:eastAsiaTheme="minorEastAsia" w:hAnsi="Arial" w:cs="Arial"/>
          <w:sz w:val="24"/>
          <w:szCs w:val="24"/>
        </w:rPr>
        <w:t xml:space="preserve">cuanto a la evaluación privada, se dirige a </w:t>
      </w:r>
      <w:r>
        <w:rPr>
          <w:rFonts w:ascii="Arial" w:hAnsi="Arial" w:cs="Arial"/>
          <w:sz w:val="24"/>
          <w:szCs w:val="24"/>
        </w:rPr>
        <w:t xml:space="preserve">inversionista </w:t>
      </w:r>
      <w:r w:rsidRPr="00F94CBE">
        <w:rPr>
          <w:rFonts w:ascii="Arial" w:hAnsi="Arial" w:cs="Arial"/>
          <w:sz w:val="24"/>
          <w:szCs w:val="24"/>
        </w:rPr>
        <w:t>o accionista</w:t>
      </w:r>
      <w:r>
        <w:rPr>
          <w:rFonts w:ascii="Arial" w:hAnsi="Arial" w:cs="Arial"/>
          <w:sz w:val="24"/>
          <w:szCs w:val="24"/>
        </w:rPr>
        <w:t xml:space="preserve"> es decir al sector empresarial o bien directamente a las personas; p</w:t>
      </w:r>
      <w:r w:rsidRPr="00F57B54">
        <w:rPr>
          <w:rFonts w:ascii="Arial" w:hAnsi="Arial" w:cs="Arial"/>
          <w:sz w:val="24"/>
          <w:szCs w:val="24"/>
        </w:rPr>
        <w:t>rioriza</w:t>
      </w:r>
      <w:r>
        <w:rPr>
          <w:rFonts w:ascii="Arial" w:hAnsi="Arial" w:cs="Arial"/>
          <w:sz w:val="24"/>
          <w:szCs w:val="24"/>
        </w:rPr>
        <w:t>ndo siempre</w:t>
      </w:r>
      <w:r w:rsidRPr="00F57B54">
        <w:rPr>
          <w:rFonts w:ascii="Arial" w:hAnsi="Arial" w:cs="Arial"/>
          <w:sz w:val="24"/>
          <w:szCs w:val="24"/>
        </w:rPr>
        <w:t xml:space="preserve"> aspectos financieros</w:t>
      </w:r>
      <w:r>
        <w:rPr>
          <w:rFonts w:ascii="Arial" w:hAnsi="Arial" w:cs="Arial"/>
          <w:sz w:val="24"/>
          <w:szCs w:val="24"/>
        </w:rPr>
        <w:t xml:space="preserve">; por ello mientras la evaluación privada incluye evaluación financiera y económica, la evaluación social se refiere a análisis </w:t>
      </w:r>
      <w:proofErr w:type="spellStart"/>
      <w:r>
        <w:rPr>
          <w:rFonts w:ascii="Arial" w:hAnsi="Arial" w:cs="Arial"/>
          <w:sz w:val="24"/>
          <w:szCs w:val="24"/>
        </w:rPr>
        <w:t>socieconómicos</w:t>
      </w:r>
      <w:proofErr w:type="spellEnd"/>
      <w:r>
        <w:rPr>
          <w:rFonts w:ascii="Arial" w:hAnsi="Arial" w:cs="Arial"/>
          <w:sz w:val="24"/>
          <w:szCs w:val="24"/>
        </w:rPr>
        <w:t xml:space="preserve"> en el cual el flujo de recursos de los bienes y servicios utilizados y producidos por el proyecto puedan determinarse en costos beneficios sociales pertinentes. </w:t>
      </w:r>
    </w:p>
    <w:p w:rsidR="0035171A" w:rsidRDefault="009B7AFE" w:rsidP="0035171A">
      <w:pPr>
        <w:autoSpaceDE w:val="0"/>
        <w:autoSpaceDN w:val="0"/>
        <w:adjustRightInd w:val="0"/>
        <w:spacing w:line="360" w:lineRule="auto"/>
        <w:jc w:val="both"/>
        <w:rPr>
          <w:rFonts w:ascii="Arial" w:hAnsi="Arial" w:cs="Arial"/>
          <w:sz w:val="24"/>
          <w:szCs w:val="24"/>
        </w:rPr>
      </w:pPr>
      <w:r>
        <w:rPr>
          <w:rFonts w:ascii="Arial" w:hAnsi="Arial" w:cs="Arial"/>
          <w:sz w:val="24"/>
          <w:szCs w:val="24"/>
        </w:rPr>
        <w:t>U</w:t>
      </w:r>
      <w:r w:rsidR="0035171A">
        <w:rPr>
          <w:rFonts w:ascii="Arial" w:hAnsi="Arial" w:cs="Arial"/>
          <w:sz w:val="24"/>
          <w:szCs w:val="24"/>
        </w:rPr>
        <w:t>na evaluación social puede definir la situación del país, pues con la determinación de los costos beneficios se traducen en el bien comunitario, en el mejoramiento de calidad de vida de una sociedad o en la solución a una política pública misma que tiende a buscar un bien común a través de la inversión de recursos públicos para beneficio de todos y la iniciativa privada a través de todos sus actores busca la consolidación de un negocio que provea ganancias y posicionamiento en un mercado competitivo</w:t>
      </w:r>
    </w:p>
    <w:p w:rsidR="0035171A" w:rsidRDefault="0035171A" w:rsidP="0035171A">
      <w:pPr>
        <w:spacing w:line="360" w:lineRule="auto"/>
        <w:ind w:left="-10" w:right="49"/>
        <w:jc w:val="both"/>
        <w:rPr>
          <w:rFonts w:ascii="Arial" w:hAnsi="Arial" w:cs="Arial"/>
          <w:sz w:val="24"/>
          <w:szCs w:val="24"/>
        </w:rPr>
      </w:pPr>
      <w:r w:rsidRPr="0083438E">
        <w:rPr>
          <w:rFonts w:ascii="Arial" w:hAnsi="Arial" w:cs="Arial"/>
          <w:sz w:val="24"/>
          <w:szCs w:val="24"/>
        </w:rPr>
        <w:t xml:space="preserve">Por otra parte, </w:t>
      </w:r>
      <w:r>
        <w:rPr>
          <w:rFonts w:ascii="Arial" w:hAnsi="Arial" w:cs="Arial"/>
          <w:sz w:val="24"/>
          <w:szCs w:val="24"/>
        </w:rPr>
        <w:t>l</w:t>
      </w:r>
      <w:r w:rsidRPr="0083438E">
        <w:rPr>
          <w:rFonts w:ascii="Arial" w:hAnsi="Arial" w:cs="Arial"/>
          <w:sz w:val="24"/>
          <w:szCs w:val="24"/>
        </w:rPr>
        <w:t xml:space="preserve">a acción de evaluar </w:t>
      </w:r>
      <w:r>
        <w:rPr>
          <w:rFonts w:ascii="Arial" w:hAnsi="Arial" w:cs="Arial"/>
          <w:sz w:val="24"/>
          <w:szCs w:val="24"/>
        </w:rPr>
        <w:t xml:space="preserve">se entiende </w:t>
      </w:r>
      <w:r w:rsidRPr="0083438E">
        <w:rPr>
          <w:rFonts w:ascii="Arial" w:hAnsi="Arial" w:cs="Arial"/>
          <w:sz w:val="24"/>
          <w:szCs w:val="24"/>
        </w:rPr>
        <w:t xml:space="preserve">en dar un juicio sobre el proyecto, </w:t>
      </w:r>
      <w:r>
        <w:rPr>
          <w:rFonts w:ascii="Arial" w:hAnsi="Arial" w:cs="Arial"/>
          <w:sz w:val="24"/>
          <w:szCs w:val="24"/>
        </w:rPr>
        <w:t>particularmente s</w:t>
      </w:r>
      <w:r w:rsidRPr="0083438E">
        <w:rPr>
          <w:rFonts w:ascii="Arial" w:hAnsi="Arial" w:cs="Arial"/>
          <w:sz w:val="24"/>
          <w:szCs w:val="24"/>
        </w:rPr>
        <w:t>obre la manera en que el proyecto se comporta en relación</w:t>
      </w:r>
      <w:r>
        <w:rPr>
          <w:rFonts w:ascii="Arial" w:hAnsi="Arial" w:cs="Arial"/>
          <w:sz w:val="24"/>
          <w:szCs w:val="24"/>
        </w:rPr>
        <w:t xml:space="preserve"> con un patrón de deseabilidad, debiendo se </w:t>
      </w:r>
      <w:r w:rsidRPr="0083438E">
        <w:rPr>
          <w:rFonts w:ascii="Arial" w:hAnsi="Arial" w:cs="Arial"/>
          <w:sz w:val="24"/>
          <w:szCs w:val="24"/>
        </w:rPr>
        <w:t>actividad</w:t>
      </w:r>
      <w:r>
        <w:rPr>
          <w:rFonts w:ascii="Arial" w:hAnsi="Arial" w:cs="Arial"/>
          <w:sz w:val="24"/>
          <w:szCs w:val="24"/>
        </w:rPr>
        <w:t>,</w:t>
      </w:r>
      <w:r w:rsidRPr="0083438E">
        <w:rPr>
          <w:rFonts w:ascii="Arial" w:hAnsi="Arial" w:cs="Arial"/>
          <w:sz w:val="24"/>
          <w:szCs w:val="24"/>
        </w:rPr>
        <w:t xml:space="preserve"> objetiva y rigurosa, que obtenga resultados válidos y confiables acerca del proyecto.</w:t>
      </w:r>
    </w:p>
    <w:p w:rsidR="0035171A" w:rsidRPr="00747463" w:rsidRDefault="0035171A" w:rsidP="0035171A">
      <w:pPr>
        <w:spacing w:after="150" w:line="360" w:lineRule="auto"/>
        <w:ind w:right="49"/>
        <w:jc w:val="both"/>
        <w:rPr>
          <w:rFonts w:ascii="Arial" w:hAnsi="Arial" w:cs="Arial"/>
          <w:sz w:val="24"/>
          <w:szCs w:val="24"/>
        </w:rPr>
      </w:pPr>
      <w:bookmarkStart w:id="0" w:name="_GoBack"/>
      <w:bookmarkEnd w:id="0"/>
      <w:r>
        <w:rPr>
          <w:rFonts w:ascii="Arial" w:hAnsi="Arial" w:cs="Arial"/>
          <w:sz w:val="24"/>
          <w:szCs w:val="24"/>
        </w:rPr>
        <w:t xml:space="preserve">Cabe mencionar, que toda </w:t>
      </w:r>
      <w:r w:rsidRPr="00747463">
        <w:rPr>
          <w:rFonts w:ascii="Arial" w:hAnsi="Arial" w:cs="Arial"/>
          <w:sz w:val="24"/>
          <w:szCs w:val="24"/>
        </w:rPr>
        <w:t xml:space="preserve">sociedad enfrenta la necesidad de elegir entre </w:t>
      </w:r>
      <w:r>
        <w:rPr>
          <w:rFonts w:ascii="Arial" w:hAnsi="Arial" w:cs="Arial"/>
          <w:sz w:val="24"/>
          <w:szCs w:val="24"/>
        </w:rPr>
        <w:t xml:space="preserve">diferentes usos de sus recursos y </w:t>
      </w:r>
      <w:r w:rsidRPr="00747463">
        <w:rPr>
          <w:rFonts w:ascii="Arial" w:hAnsi="Arial" w:cs="Arial"/>
          <w:sz w:val="24"/>
          <w:szCs w:val="24"/>
        </w:rPr>
        <w:t xml:space="preserve">podemos decir que una parte de esas decisiones de asignación </w:t>
      </w:r>
      <w:r w:rsidRPr="00747463">
        <w:rPr>
          <w:rFonts w:ascii="Arial" w:hAnsi="Arial" w:cs="Arial"/>
          <w:sz w:val="24"/>
          <w:szCs w:val="24"/>
        </w:rPr>
        <w:lastRenderedPageBreak/>
        <w:t>la hace a través del mercado</w:t>
      </w:r>
      <w:r>
        <w:rPr>
          <w:rFonts w:ascii="Arial" w:hAnsi="Arial" w:cs="Arial"/>
          <w:sz w:val="24"/>
          <w:szCs w:val="24"/>
        </w:rPr>
        <w:t xml:space="preserve"> es en esta parte donde la participación y decisiones son tomadas por </w:t>
      </w:r>
      <w:r w:rsidRPr="00747463">
        <w:rPr>
          <w:rFonts w:ascii="Arial" w:hAnsi="Arial" w:cs="Arial"/>
          <w:sz w:val="24"/>
          <w:szCs w:val="24"/>
        </w:rPr>
        <w:t>agentes privados y organizaciones estatales.</w:t>
      </w:r>
    </w:p>
    <w:p w:rsidR="0035171A" w:rsidRPr="007B0838" w:rsidRDefault="0035171A" w:rsidP="0035171A">
      <w:pPr>
        <w:spacing w:line="360" w:lineRule="auto"/>
        <w:ind w:left="-10" w:right="49"/>
        <w:jc w:val="both"/>
        <w:rPr>
          <w:rFonts w:ascii="Arial" w:hAnsi="Arial" w:cs="Arial"/>
          <w:sz w:val="24"/>
          <w:szCs w:val="24"/>
        </w:rPr>
      </w:pPr>
      <w:r w:rsidRPr="00F27311">
        <w:rPr>
          <w:rFonts w:ascii="Arial" w:hAnsi="Arial" w:cs="Arial"/>
          <w:sz w:val="24"/>
          <w:szCs w:val="24"/>
        </w:rPr>
        <w:t xml:space="preserve">De igual forma, se dice que la evaluación de proyectos </w:t>
      </w:r>
      <w:r>
        <w:rPr>
          <w:rFonts w:ascii="Arial" w:hAnsi="Arial" w:cs="Arial"/>
          <w:sz w:val="24"/>
          <w:szCs w:val="24"/>
        </w:rPr>
        <w:t>exige</w:t>
      </w:r>
      <w:r w:rsidRPr="00F27311">
        <w:rPr>
          <w:rFonts w:ascii="Arial" w:hAnsi="Arial" w:cs="Arial"/>
          <w:sz w:val="24"/>
          <w:szCs w:val="24"/>
        </w:rPr>
        <w:t xml:space="preserve"> una función </w:t>
      </w:r>
      <w:r>
        <w:rPr>
          <w:rFonts w:ascii="Arial" w:hAnsi="Arial" w:cs="Arial"/>
          <w:sz w:val="24"/>
          <w:szCs w:val="24"/>
        </w:rPr>
        <w:t>de</w:t>
      </w:r>
      <w:r w:rsidRPr="00F27311">
        <w:rPr>
          <w:rFonts w:ascii="Arial" w:hAnsi="Arial" w:cs="Arial"/>
          <w:sz w:val="24"/>
          <w:szCs w:val="24"/>
        </w:rPr>
        <w:t xml:space="preserve"> </w:t>
      </w:r>
      <w:r w:rsidRPr="00F27311">
        <w:rPr>
          <w:rFonts w:ascii="Arial" w:hAnsi="Arial" w:cs="Arial"/>
          <w:i/>
          <w:sz w:val="24"/>
          <w:szCs w:val="24"/>
        </w:rPr>
        <w:t>pauta de deseabilidad</w:t>
      </w:r>
      <w:r w:rsidRPr="00F27311">
        <w:rPr>
          <w:rFonts w:ascii="Arial" w:hAnsi="Arial" w:cs="Arial"/>
          <w:sz w:val="24"/>
          <w:szCs w:val="24"/>
        </w:rPr>
        <w:t xml:space="preserve">, </w:t>
      </w:r>
      <w:r>
        <w:rPr>
          <w:rFonts w:ascii="Arial" w:hAnsi="Arial" w:cs="Arial"/>
          <w:sz w:val="24"/>
          <w:szCs w:val="24"/>
        </w:rPr>
        <w:t xml:space="preserve">a fin de </w:t>
      </w:r>
      <w:r w:rsidRPr="00F27311">
        <w:rPr>
          <w:rFonts w:ascii="Arial" w:hAnsi="Arial" w:cs="Arial"/>
          <w:sz w:val="24"/>
          <w:szCs w:val="24"/>
        </w:rPr>
        <w:t xml:space="preserve">comparar el impacto de las alternativas de proyecto. </w:t>
      </w:r>
      <w:r>
        <w:rPr>
          <w:rFonts w:ascii="Arial" w:hAnsi="Arial" w:cs="Arial"/>
          <w:sz w:val="24"/>
          <w:szCs w:val="24"/>
        </w:rPr>
        <w:t>Ya que, para el factor privado</w:t>
      </w:r>
      <w:r w:rsidRPr="00F27311">
        <w:rPr>
          <w:rFonts w:ascii="Arial" w:hAnsi="Arial" w:cs="Arial"/>
          <w:sz w:val="24"/>
          <w:szCs w:val="24"/>
        </w:rPr>
        <w:t xml:space="preserve">, trata de maximizar la riqueza total generada por el proyecto, </w:t>
      </w:r>
      <w:r>
        <w:rPr>
          <w:rFonts w:ascii="Arial" w:hAnsi="Arial" w:cs="Arial"/>
          <w:sz w:val="24"/>
          <w:szCs w:val="24"/>
        </w:rPr>
        <w:t xml:space="preserve">reflejada en el incremento monetario de tal suerte que </w:t>
      </w:r>
      <w:r w:rsidRPr="002F7F7C">
        <w:rPr>
          <w:rFonts w:ascii="Arial" w:hAnsi="Arial" w:cs="Arial"/>
          <w:sz w:val="24"/>
          <w:szCs w:val="24"/>
        </w:rPr>
        <w:t xml:space="preserve">los proyectos son convenientes si aumentan la riqueza de la empresa, o sea de los accionistas. </w:t>
      </w:r>
      <w:r>
        <w:rPr>
          <w:rFonts w:ascii="Arial" w:hAnsi="Arial" w:cs="Arial"/>
          <w:sz w:val="24"/>
          <w:szCs w:val="24"/>
        </w:rPr>
        <w:t>y para el caso de l</w:t>
      </w:r>
      <w:r w:rsidRPr="00F27311">
        <w:rPr>
          <w:rFonts w:ascii="Arial" w:hAnsi="Arial" w:cs="Arial"/>
          <w:sz w:val="24"/>
          <w:szCs w:val="24"/>
        </w:rPr>
        <w:t>a</w:t>
      </w:r>
      <w:r>
        <w:rPr>
          <w:rFonts w:ascii="Arial" w:hAnsi="Arial" w:cs="Arial"/>
          <w:sz w:val="24"/>
          <w:szCs w:val="24"/>
        </w:rPr>
        <w:t xml:space="preserve"> evaluación social, la cuestión se preocupa por</w:t>
      </w:r>
      <w:r w:rsidRPr="00F27311">
        <w:rPr>
          <w:rFonts w:ascii="Arial" w:hAnsi="Arial" w:cs="Arial"/>
          <w:sz w:val="24"/>
          <w:szCs w:val="24"/>
        </w:rPr>
        <w:t xml:space="preserve"> maximizar la </w:t>
      </w:r>
      <w:r w:rsidRPr="00F27311">
        <w:rPr>
          <w:rFonts w:ascii="Arial" w:hAnsi="Arial" w:cs="Arial"/>
          <w:i/>
          <w:sz w:val="24"/>
          <w:szCs w:val="24"/>
        </w:rPr>
        <w:t>riqueza social</w:t>
      </w:r>
      <w:r>
        <w:rPr>
          <w:rFonts w:ascii="Arial" w:hAnsi="Arial" w:cs="Arial"/>
          <w:sz w:val="24"/>
          <w:szCs w:val="24"/>
        </w:rPr>
        <w:t>. A esta complejidad se plantean dos vertientes, una de ellas a través de</w:t>
      </w:r>
      <w:r w:rsidRPr="002F7F7C">
        <w:rPr>
          <w:rFonts w:ascii="Arial" w:hAnsi="Arial" w:cs="Arial"/>
          <w:sz w:val="24"/>
          <w:szCs w:val="24"/>
        </w:rPr>
        <w:t xml:space="preserve"> las preferencias sociales como una escala de </w:t>
      </w:r>
      <w:r>
        <w:rPr>
          <w:rFonts w:ascii="Arial" w:hAnsi="Arial" w:cs="Arial"/>
          <w:sz w:val="24"/>
          <w:szCs w:val="24"/>
        </w:rPr>
        <w:t xml:space="preserve">preferencias supraindividuales es decir que la </w:t>
      </w:r>
      <w:r w:rsidRPr="002F7F7C">
        <w:rPr>
          <w:rFonts w:ascii="Arial" w:hAnsi="Arial" w:cs="Arial"/>
          <w:sz w:val="24"/>
          <w:szCs w:val="24"/>
        </w:rPr>
        <w:t xml:space="preserve">sociedad </w:t>
      </w:r>
      <w:r>
        <w:rPr>
          <w:rFonts w:ascii="Arial" w:hAnsi="Arial" w:cs="Arial"/>
          <w:sz w:val="24"/>
          <w:szCs w:val="24"/>
        </w:rPr>
        <w:t xml:space="preserve">en lo </w:t>
      </w:r>
      <w:r w:rsidRPr="002F7F7C">
        <w:rPr>
          <w:rFonts w:ascii="Arial" w:hAnsi="Arial" w:cs="Arial"/>
          <w:sz w:val="24"/>
          <w:szCs w:val="24"/>
        </w:rPr>
        <w:t xml:space="preserve">colectivo </w:t>
      </w:r>
      <w:r>
        <w:rPr>
          <w:rFonts w:ascii="Arial" w:hAnsi="Arial" w:cs="Arial"/>
          <w:sz w:val="24"/>
          <w:szCs w:val="24"/>
        </w:rPr>
        <w:t xml:space="preserve">resalta los valores acordados por consenso para posteriormente adecuarlos a </w:t>
      </w:r>
      <w:r w:rsidRPr="002F7F7C">
        <w:rPr>
          <w:rFonts w:ascii="Arial" w:hAnsi="Arial" w:cs="Arial"/>
          <w:sz w:val="24"/>
          <w:szCs w:val="24"/>
        </w:rPr>
        <w:t>criteri</w:t>
      </w:r>
      <w:r>
        <w:rPr>
          <w:rFonts w:ascii="Arial" w:hAnsi="Arial" w:cs="Arial"/>
          <w:sz w:val="24"/>
          <w:szCs w:val="24"/>
        </w:rPr>
        <w:t xml:space="preserve">o de selección de los proyectos y como resultado de ello la </w:t>
      </w:r>
      <w:r w:rsidRPr="002F7F7C">
        <w:rPr>
          <w:rFonts w:ascii="Arial" w:hAnsi="Arial" w:cs="Arial"/>
          <w:sz w:val="24"/>
          <w:szCs w:val="24"/>
        </w:rPr>
        <w:t>función de bienestar social surgiría de la definición de una escala de valores “sociales”, supraindividuales.</w:t>
      </w:r>
    </w:p>
    <w:p w:rsidR="0035171A" w:rsidRDefault="0035171A" w:rsidP="0035171A">
      <w:pPr>
        <w:spacing w:line="360" w:lineRule="auto"/>
        <w:ind w:left="-10" w:right="49"/>
        <w:jc w:val="both"/>
        <w:rPr>
          <w:rFonts w:ascii="Arial" w:hAnsi="Arial" w:cs="Arial"/>
          <w:sz w:val="24"/>
          <w:szCs w:val="24"/>
        </w:rPr>
      </w:pPr>
      <w:r>
        <w:rPr>
          <w:rFonts w:ascii="Arial" w:hAnsi="Arial" w:cs="Arial"/>
          <w:sz w:val="24"/>
          <w:szCs w:val="24"/>
        </w:rPr>
        <w:t>Ahora bien, la otra vertiente es</w:t>
      </w:r>
      <w:r w:rsidRPr="002F7F7C">
        <w:rPr>
          <w:rFonts w:ascii="Arial" w:hAnsi="Arial" w:cs="Arial"/>
          <w:sz w:val="24"/>
          <w:szCs w:val="24"/>
        </w:rPr>
        <w:t xml:space="preserve"> la </w:t>
      </w:r>
      <w:r>
        <w:rPr>
          <w:rFonts w:ascii="Arial" w:hAnsi="Arial" w:cs="Arial"/>
          <w:sz w:val="24"/>
          <w:szCs w:val="24"/>
        </w:rPr>
        <w:t xml:space="preserve">suma de utilidades individuales la cual surge con lo que la mayoría prefiere; bien sea en lo individual o por una probable mayoría. En cuanto a la primera, su origen deriva de </w:t>
      </w:r>
      <w:r w:rsidRPr="002F7F7C">
        <w:rPr>
          <w:rFonts w:ascii="Arial" w:hAnsi="Arial" w:cs="Arial"/>
          <w:sz w:val="24"/>
          <w:szCs w:val="24"/>
        </w:rPr>
        <w:t>cada individuo toma</w:t>
      </w:r>
      <w:r>
        <w:rPr>
          <w:rFonts w:ascii="Arial" w:hAnsi="Arial" w:cs="Arial"/>
          <w:sz w:val="24"/>
          <w:szCs w:val="24"/>
        </w:rPr>
        <w:t>ndo</w:t>
      </w:r>
      <w:r w:rsidRPr="002F7F7C">
        <w:rPr>
          <w:rFonts w:ascii="Arial" w:hAnsi="Arial" w:cs="Arial"/>
          <w:sz w:val="24"/>
          <w:szCs w:val="24"/>
        </w:rPr>
        <w:t xml:space="preserve"> en cuenta sólo lo que a él le afecta, </w:t>
      </w:r>
      <w:r>
        <w:rPr>
          <w:rFonts w:ascii="Arial" w:hAnsi="Arial" w:cs="Arial"/>
          <w:sz w:val="24"/>
          <w:szCs w:val="24"/>
        </w:rPr>
        <w:t>y este trasciende a lo que</w:t>
      </w:r>
      <w:r w:rsidRPr="002F7F7C">
        <w:rPr>
          <w:rFonts w:ascii="Arial" w:hAnsi="Arial" w:cs="Arial"/>
          <w:sz w:val="24"/>
          <w:szCs w:val="24"/>
        </w:rPr>
        <w:t xml:space="preserve"> cada individuo incluye en su función de utilidad individual el efecto de las acciones colectivas sobre otros.</w:t>
      </w:r>
    </w:p>
    <w:p w:rsidR="0035171A" w:rsidRDefault="0035171A" w:rsidP="0035171A">
      <w:pPr>
        <w:spacing w:line="360" w:lineRule="auto"/>
        <w:ind w:left="-10" w:right="49"/>
        <w:jc w:val="both"/>
        <w:rPr>
          <w:rFonts w:ascii="Arial" w:hAnsi="Arial" w:cs="Arial"/>
          <w:sz w:val="24"/>
          <w:szCs w:val="24"/>
        </w:rPr>
      </w:pPr>
      <w:r>
        <w:rPr>
          <w:rFonts w:ascii="Arial" w:hAnsi="Arial" w:cs="Arial"/>
          <w:sz w:val="24"/>
          <w:szCs w:val="24"/>
        </w:rPr>
        <w:t xml:space="preserve">Por último, </w:t>
      </w:r>
      <w:r w:rsidRPr="00BC3473">
        <w:rPr>
          <w:rFonts w:ascii="Arial" w:hAnsi="Arial" w:cs="Arial"/>
          <w:sz w:val="24"/>
          <w:szCs w:val="24"/>
        </w:rPr>
        <w:t xml:space="preserve">la evaluación social incluye efectos que la evaluación privada no considera, </w:t>
      </w:r>
      <w:r>
        <w:rPr>
          <w:rFonts w:ascii="Arial" w:hAnsi="Arial" w:cs="Arial"/>
          <w:sz w:val="24"/>
          <w:szCs w:val="24"/>
        </w:rPr>
        <w:t xml:space="preserve">pues estima </w:t>
      </w:r>
      <w:r w:rsidRPr="00BC3473">
        <w:rPr>
          <w:rFonts w:ascii="Arial" w:hAnsi="Arial" w:cs="Arial"/>
          <w:sz w:val="24"/>
          <w:szCs w:val="24"/>
        </w:rPr>
        <w:t xml:space="preserve">no ser relevantes para el inversor privado. </w:t>
      </w:r>
      <w:r>
        <w:rPr>
          <w:rFonts w:ascii="Arial" w:hAnsi="Arial" w:cs="Arial"/>
          <w:sz w:val="24"/>
          <w:szCs w:val="24"/>
        </w:rPr>
        <w:t>Encontrando entre estos e</w:t>
      </w:r>
      <w:r w:rsidRPr="00BC3473">
        <w:rPr>
          <w:rFonts w:ascii="Arial" w:hAnsi="Arial" w:cs="Arial"/>
          <w:sz w:val="24"/>
          <w:szCs w:val="24"/>
        </w:rPr>
        <w:t xml:space="preserve">fectos que sí son comunes </w:t>
      </w:r>
      <w:r>
        <w:rPr>
          <w:rFonts w:ascii="Arial" w:hAnsi="Arial" w:cs="Arial"/>
          <w:sz w:val="24"/>
          <w:szCs w:val="24"/>
        </w:rPr>
        <w:t xml:space="preserve">como los efectos directos, generados por los </w:t>
      </w:r>
      <w:r w:rsidRPr="00BC3473">
        <w:rPr>
          <w:rFonts w:ascii="Arial" w:hAnsi="Arial" w:cs="Arial"/>
          <w:sz w:val="24"/>
          <w:szCs w:val="24"/>
        </w:rPr>
        <w:t>proyectos sobre la función objetivo, de manera directa, es decir, en el mercado de los bienes que el proyecto produce o en</w:t>
      </w:r>
      <w:r>
        <w:rPr>
          <w:rFonts w:ascii="Arial" w:hAnsi="Arial" w:cs="Arial"/>
          <w:sz w:val="24"/>
          <w:szCs w:val="24"/>
        </w:rPr>
        <w:t xml:space="preserve"> el de los insumos que demanda y los </w:t>
      </w:r>
      <w:r w:rsidRPr="00BC3473">
        <w:rPr>
          <w:rFonts w:ascii="Arial" w:hAnsi="Arial" w:cs="Arial"/>
          <w:sz w:val="24"/>
          <w:szCs w:val="24"/>
        </w:rPr>
        <w:t>Efectos indirectos</w:t>
      </w:r>
      <w:r>
        <w:rPr>
          <w:rFonts w:ascii="Arial" w:hAnsi="Arial" w:cs="Arial"/>
          <w:sz w:val="24"/>
          <w:szCs w:val="24"/>
        </w:rPr>
        <w:t xml:space="preserve">; mismos que </w:t>
      </w:r>
      <w:r w:rsidRPr="00BC3473">
        <w:rPr>
          <w:rFonts w:ascii="Arial" w:hAnsi="Arial" w:cs="Arial"/>
          <w:sz w:val="24"/>
          <w:szCs w:val="24"/>
        </w:rPr>
        <w:t>se generan en el mercado de bienes o insumos sustitutos o complementarios de los que el proyecto produce o demanda, y también aquellos que afectan de manera</w:t>
      </w:r>
      <w:r>
        <w:rPr>
          <w:rFonts w:ascii="Arial" w:hAnsi="Arial" w:cs="Arial"/>
          <w:sz w:val="24"/>
          <w:szCs w:val="24"/>
        </w:rPr>
        <w:t xml:space="preserve"> indirecta la función objetivo.</w:t>
      </w:r>
    </w:p>
    <w:p w:rsidR="0035171A" w:rsidRPr="0035171A" w:rsidRDefault="0035171A" w:rsidP="0035171A">
      <w:pPr>
        <w:spacing w:line="360" w:lineRule="auto"/>
        <w:ind w:left="-10" w:right="49"/>
        <w:jc w:val="both"/>
        <w:rPr>
          <w:rFonts w:ascii="Arial" w:hAnsi="Arial" w:cs="Arial"/>
          <w:sz w:val="14"/>
          <w:szCs w:val="14"/>
        </w:rPr>
      </w:pPr>
      <w:r w:rsidRPr="0035171A">
        <w:rPr>
          <w:rFonts w:ascii="Arial" w:hAnsi="Arial" w:cs="Arial"/>
          <w:bCs/>
          <w:sz w:val="14"/>
          <w:szCs w:val="14"/>
          <w:lang w:val="es-ES"/>
        </w:rPr>
        <w:t>Ortegón</w:t>
      </w:r>
      <w:r w:rsidRPr="0035171A">
        <w:rPr>
          <w:rFonts w:ascii="Arial" w:hAnsi="Arial" w:cs="Arial"/>
          <w:bCs/>
          <w:sz w:val="14"/>
          <w:szCs w:val="14"/>
          <w:lang w:val="es-ES"/>
        </w:rPr>
        <w:t xml:space="preserve"> </w:t>
      </w:r>
      <w:r w:rsidRPr="0035171A">
        <w:rPr>
          <w:rFonts w:ascii="Arial" w:hAnsi="Arial" w:cs="Arial"/>
          <w:bCs/>
          <w:sz w:val="14"/>
          <w:szCs w:val="14"/>
          <w:lang w:val="es-ES"/>
        </w:rPr>
        <w:t>E</w:t>
      </w:r>
      <w:r w:rsidRPr="0035171A">
        <w:rPr>
          <w:rFonts w:ascii="Arial" w:hAnsi="Arial" w:cs="Arial"/>
          <w:bCs/>
          <w:sz w:val="14"/>
          <w:szCs w:val="14"/>
          <w:lang w:val="es-ES"/>
        </w:rPr>
        <w:t>.</w:t>
      </w:r>
      <w:r w:rsidRPr="0035171A">
        <w:rPr>
          <w:rFonts w:ascii="Arial" w:hAnsi="Arial" w:cs="Arial"/>
          <w:bCs/>
          <w:sz w:val="14"/>
          <w:szCs w:val="14"/>
          <w:lang w:val="es-ES"/>
        </w:rPr>
        <w:t>, Pacheco</w:t>
      </w:r>
      <w:r w:rsidRPr="0035171A">
        <w:rPr>
          <w:rFonts w:ascii="Arial" w:hAnsi="Arial" w:cs="Arial"/>
          <w:bCs/>
          <w:sz w:val="14"/>
          <w:szCs w:val="14"/>
          <w:lang w:val="es-ES"/>
        </w:rPr>
        <w:t xml:space="preserve"> </w:t>
      </w:r>
      <w:r w:rsidRPr="0035171A">
        <w:rPr>
          <w:rFonts w:ascii="Arial" w:hAnsi="Arial" w:cs="Arial"/>
          <w:bCs/>
          <w:sz w:val="14"/>
          <w:szCs w:val="14"/>
          <w:lang w:val="es-ES"/>
        </w:rPr>
        <w:t>Juan F</w:t>
      </w:r>
      <w:r w:rsidRPr="0035171A">
        <w:rPr>
          <w:rFonts w:ascii="Arial" w:hAnsi="Arial" w:cs="Arial"/>
          <w:bCs/>
          <w:sz w:val="14"/>
          <w:szCs w:val="14"/>
          <w:lang w:val="es-ES"/>
        </w:rPr>
        <w:t>.</w:t>
      </w:r>
      <w:r w:rsidRPr="0035171A">
        <w:rPr>
          <w:rFonts w:ascii="Arial" w:hAnsi="Arial" w:cs="Arial"/>
          <w:bCs/>
          <w:sz w:val="14"/>
          <w:szCs w:val="14"/>
          <w:lang w:val="es-ES"/>
        </w:rPr>
        <w:t xml:space="preserve">, </w:t>
      </w:r>
      <w:proofErr w:type="spellStart"/>
      <w:r w:rsidRPr="0035171A">
        <w:rPr>
          <w:rFonts w:ascii="Arial" w:hAnsi="Arial" w:cs="Arial"/>
          <w:bCs/>
          <w:sz w:val="14"/>
          <w:szCs w:val="14"/>
          <w:lang w:val="es-ES"/>
        </w:rPr>
        <w:t>Roura</w:t>
      </w:r>
      <w:proofErr w:type="spellEnd"/>
      <w:r w:rsidRPr="0035171A">
        <w:rPr>
          <w:rFonts w:ascii="Arial" w:hAnsi="Arial" w:cs="Arial"/>
          <w:bCs/>
          <w:sz w:val="14"/>
          <w:szCs w:val="14"/>
          <w:lang w:val="es-ES"/>
        </w:rPr>
        <w:t xml:space="preserve"> </w:t>
      </w:r>
      <w:r w:rsidRPr="0035171A">
        <w:rPr>
          <w:rFonts w:ascii="Arial" w:hAnsi="Arial" w:cs="Arial"/>
          <w:bCs/>
          <w:sz w:val="14"/>
          <w:szCs w:val="14"/>
          <w:lang w:val="es-ES"/>
        </w:rPr>
        <w:t>H</w:t>
      </w:r>
      <w:r w:rsidRPr="0035171A">
        <w:rPr>
          <w:rFonts w:ascii="Arial" w:hAnsi="Arial" w:cs="Arial"/>
          <w:b/>
          <w:bCs/>
          <w:sz w:val="14"/>
          <w:szCs w:val="14"/>
          <w:lang w:val="es-ES"/>
        </w:rPr>
        <w:t xml:space="preserve">, </w:t>
      </w:r>
      <w:r w:rsidRPr="0035171A">
        <w:rPr>
          <w:rFonts w:ascii="Arial" w:hAnsi="Arial" w:cs="Arial"/>
          <w:b/>
          <w:bCs/>
          <w:i/>
          <w:sz w:val="14"/>
          <w:szCs w:val="14"/>
          <w:lang w:val="es-ES"/>
        </w:rPr>
        <w:t>Metodología general de</w:t>
      </w:r>
      <w:r w:rsidRPr="0035171A">
        <w:rPr>
          <w:rFonts w:ascii="Arial" w:hAnsi="Arial" w:cs="Arial"/>
          <w:b/>
          <w:bCs/>
          <w:i/>
          <w:sz w:val="14"/>
          <w:szCs w:val="14"/>
          <w:lang w:val="es-ES"/>
        </w:rPr>
        <w:t xml:space="preserve"> </w:t>
      </w:r>
      <w:r w:rsidRPr="0035171A">
        <w:rPr>
          <w:rFonts w:ascii="Arial" w:hAnsi="Arial" w:cs="Arial"/>
          <w:b/>
          <w:bCs/>
          <w:i/>
          <w:sz w:val="14"/>
          <w:szCs w:val="14"/>
          <w:lang w:val="es-ES"/>
        </w:rPr>
        <w:t>identificación, preparación y</w:t>
      </w:r>
      <w:r w:rsidRPr="0035171A">
        <w:rPr>
          <w:rFonts w:ascii="Arial" w:hAnsi="Arial" w:cs="Arial"/>
          <w:b/>
          <w:bCs/>
          <w:i/>
          <w:sz w:val="14"/>
          <w:szCs w:val="14"/>
          <w:lang w:val="es-ES"/>
        </w:rPr>
        <w:t xml:space="preserve"> </w:t>
      </w:r>
      <w:r w:rsidRPr="0035171A">
        <w:rPr>
          <w:rFonts w:ascii="Arial" w:hAnsi="Arial" w:cs="Arial"/>
          <w:b/>
          <w:bCs/>
          <w:i/>
          <w:sz w:val="14"/>
          <w:szCs w:val="14"/>
          <w:lang w:val="es-ES"/>
        </w:rPr>
        <w:t>evaluación de proyectos de</w:t>
      </w:r>
      <w:r w:rsidRPr="0035171A">
        <w:rPr>
          <w:rFonts w:ascii="Arial" w:hAnsi="Arial" w:cs="Arial"/>
          <w:b/>
          <w:bCs/>
          <w:i/>
          <w:sz w:val="14"/>
          <w:szCs w:val="14"/>
          <w:lang w:val="es-ES"/>
        </w:rPr>
        <w:t xml:space="preserve"> </w:t>
      </w:r>
      <w:r w:rsidRPr="0035171A">
        <w:rPr>
          <w:rFonts w:ascii="Arial" w:hAnsi="Arial" w:cs="Arial"/>
          <w:b/>
          <w:bCs/>
          <w:i/>
          <w:sz w:val="14"/>
          <w:szCs w:val="14"/>
          <w:lang w:val="es-ES"/>
        </w:rPr>
        <w:t>inversión pública</w:t>
      </w:r>
      <w:r w:rsidRPr="0035171A">
        <w:rPr>
          <w:rFonts w:ascii="Arial" w:hAnsi="Arial" w:cs="Arial"/>
          <w:b/>
          <w:bCs/>
          <w:i/>
          <w:sz w:val="14"/>
          <w:szCs w:val="14"/>
          <w:lang w:val="es-ES"/>
        </w:rPr>
        <w:t>.</w:t>
      </w:r>
      <w:r w:rsidRPr="0035171A">
        <w:rPr>
          <w:rFonts w:ascii="Arial" w:hAnsi="Arial" w:cs="Arial"/>
          <w:b/>
          <w:bCs/>
          <w:sz w:val="14"/>
          <w:szCs w:val="14"/>
          <w:lang w:val="es-ES"/>
        </w:rPr>
        <w:t xml:space="preserve"> </w:t>
      </w:r>
      <w:r w:rsidRPr="0035171A">
        <w:rPr>
          <w:rFonts w:ascii="Arial" w:hAnsi="Arial" w:cs="Arial"/>
          <w:bCs/>
          <w:sz w:val="14"/>
          <w:szCs w:val="14"/>
          <w:lang w:val="es-ES"/>
        </w:rPr>
        <w:t>Instituto Latinoamericano y del Caribe de</w:t>
      </w:r>
      <w:r w:rsidRPr="0035171A">
        <w:rPr>
          <w:rFonts w:ascii="Arial" w:hAnsi="Arial" w:cs="Arial"/>
          <w:bCs/>
          <w:sz w:val="14"/>
          <w:szCs w:val="14"/>
          <w:lang w:val="es-ES"/>
        </w:rPr>
        <w:t xml:space="preserve"> </w:t>
      </w:r>
      <w:r w:rsidRPr="0035171A">
        <w:rPr>
          <w:rFonts w:ascii="Arial" w:hAnsi="Arial" w:cs="Arial"/>
          <w:bCs/>
          <w:sz w:val="14"/>
          <w:szCs w:val="14"/>
          <w:lang w:val="es-ES"/>
        </w:rPr>
        <w:t>P</w:t>
      </w:r>
      <w:r w:rsidRPr="0035171A">
        <w:rPr>
          <w:rFonts w:ascii="Arial" w:hAnsi="Arial" w:cs="Arial"/>
          <w:bCs/>
          <w:sz w:val="14"/>
          <w:szCs w:val="14"/>
          <w:lang w:val="es-ES"/>
        </w:rPr>
        <w:t xml:space="preserve">lanificación Económica y Social. </w:t>
      </w:r>
      <w:r w:rsidRPr="0035171A">
        <w:rPr>
          <w:rFonts w:ascii="Arial" w:hAnsi="Arial" w:cs="Arial"/>
          <w:bCs/>
          <w:sz w:val="14"/>
          <w:szCs w:val="14"/>
          <w:lang w:val="es-ES"/>
        </w:rPr>
        <w:t>Santiago de Chile, 2005</w:t>
      </w:r>
      <w:r w:rsidRPr="0035171A">
        <w:rPr>
          <w:rFonts w:ascii="Arial" w:hAnsi="Arial" w:cs="Arial"/>
          <w:bCs/>
          <w:sz w:val="14"/>
          <w:szCs w:val="14"/>
          <w:lang w:val="es-ES"/>
        </w:rPr>
        <w:t>.</w:t>
      </w:r>
    </w:p>
    <w:sectPr w:rsidR="0035171A" w:rsidRPr="0035171A" w:rsidSect="00957919">
      <w:headerReference w:type="default" r:id="rId8"/>
      <w:footerReference w:type="default" r:id="rId9"/>
      <w:pgSz w:w="12240" w:h="15840" w:code="1"/>
      <w:pgMar w:top="1418" w:right="1134" w:bottom="1418" w:left="1701" w:header="11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05C" w:rsidRDefault="0005005C" w:rsidP="00AD6CAF">
      <w:pPr>
        <w:spacing w:after="0" w:line="240" w:lineRule="auto"/>
      </w:pPr>
      <w:r>
        <w:separator/>
      </w:r>
    </w:p>
  </w:endnote>
  <w:endnote w:type="continuationSeparator" w:id="0">
    <w:p w:rsidR="0005005C" w:rsidRDefault="0005005C"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37" w:rsidRDefault="003A3D17" w:rsidP="00C13C74">
    <w:pPr>
      <w:pStyle w:val="Piedepgina"/>
    </w:pPr>
    <w:r>
      <w:rPr>
        <w:noProof/>
        <w:lang w:val="es-ES" w:eastAsia="es-ES"/>
      </w:rPr>
      <mc:AlternateContent>
        <mc:Choice Requires="wps">
          <w:drawing>
            <wp:anchor distT="0" distB="0" distL="114300" distR="114300" simplePos="0" relativeHeight="251657216" behindDoc="0" locked="0" layoutInCell="0" allowOverlap="1" wp14:anchorId="0263FF0C" wp14:editId="513C22D6">
              <wp:simplePos x="0" y="0"/>
              <wp:positionH relativeFrom="margin">
                <wp:posOffset>-48776</wp:posOffset>
              </wp:positionH>
              <wp:positionV relativeFrom="page">
                <wp:posOffset>9207795</wp:posOffset>
              </wp:positionV>
              <wp:extent cx="3009014" cy="510639"/>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014" cy="5106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C74" w:rsidRPr="004F1B88" w:rsidRDefault="005B665D" w:rsidP="005B665D">
                          <w:pPr>
                            <w:rPr>
                              <w:rStyle w:val="Textoennegrita"/>
                              <w:rFonts w:ascii="Arial Rounded MT Bold" w:hAnsi="Arial Rounded MT Bold" w:cs="Aharoni"/>
                              <w:b w:val="0"/>
                              <w:color w:val="000000" w:themeColor="text1"/>
                              <w:sz w:val="20"/>
                              <w:szCs w:val="20"/>
                              <w:shd w:val="clear" w:color="auto" w:fill="FFFFFF"/>
                            </w:rPr>
                          </w:pPr>
                          <w:r w:rsidRPr="004F1B88">
                            <w:rPr>
                              <w:rStyle w:val="Textoennegrita"/>
                              <w:rFonts w:ascii="Arial Rounded MT Bold" w:hAnsi="Arial Rounded MT Bold" w:cs="Aharoni"/>
                              <w:b w:val="0"/>
                              <w:color w:val="000000" w:themeColor="text1"/>
                              <w:sz w:val="20"/>
                              <w:szCs w:val="20"/>
                              <w:shd w:val="clear" w:color="auto" w:fill="FFFFFF"/>
                            </w:rPr>
                            <w:t>Docente: Dra.</w:t>
                          </w:r>
                          <w:r w:rsidR="00827837" w:rsidRPr="004F1B88">
                            <w:rPr>
                              <w:rStyle w:val="Textoennegrita"/>
                              <w:rFonts w:ascii="Arial Rounded MT Bold" w:hAnsi="Arial Rounded MT Bold" w:cs="Aharoni"/>
                              <w:b w:val="0"/>
                              <w:color w:val="000000" w:themeColor="text1"/>
                              <w:sz w:val="20"/>
                              <w:szCs w:val="20"/>
                              <w:shd w:val="clear" w:color="auto" w:fill="FFFFFF"/>
                            </w:rPr>
                            <w:t xml:space="preserve"> Hilda María Jiménez Acevedo</w:t>
                          </w:r>
                        </w:p>
                        <w:p w:rsidR="00827837" w:rsidRPr="004F1B88" w:rsidRDefault="00827837" w:rsidP="005B665D">
                          <w:pPr>
                            <w:rPr>
                              <w:b/>
                              <w:sz w:val="20"/>
                              <w:szCs w:val="20"/>
                              <w:lang w:val="es-ES"/>
                            </w:rPr>
                          </w:pPr>
                          <w:r w:rsidRPr="004F1B88">
                            <w:rPr>
                              <w:rStyle w:val="Textoennegrita"/>
                              <w:rFonts w:ascii="Arial Rounded MT Bold" w:hAnsi="Arial Rounded MT Bold" w:cs="Aharoni"/>
                              <w:b w:val="0"/>
                              <w:color w:val="000000" w:themeColor="text1"/>
                              <w:sz w:val="20"/>
                              <w:szCs w:val="20"/>
                              <w:shd w:val="clear" w:color="auto" w:fill="FFFFFF"/>
                            </w:rPr>
                            <w:t>Alumno:</w:t>
                          </w:r>
                          <w:r w:rsidR="00524BAF" w:rsidRPr="004F1B88">
                            <w:rPr>
                              <w:rStyle w:val="Textoennegrita"/>
                              <w:rFonts w:ascii="Arial Rounded MT Bold" w:hAnsi="Arial Rounded MT Bold" w:cs="Aharoni"/>
                              <w:b w:val="0"/>
                              <w:color w:val="000000" w:themeColor="text1"/>
                              <w:sz w:val="20"/>
                              <w:szCs w:val="20"/>
                              <w:shd w:val="clear" w:color="auto" w:fill="FFFFFF"/>
                            </w:rPr>
                            <w:t xml:space="preserve"> </w:t>
                          </w:r>
                          <w:r w:rsidRPr="004F1B88">
                            <w:rPr>
                              <w:rStyle w:val="Textoennegrita"/>
                              <w:rFonts w:ascii="Arial Rounded MT Bold" w:hAnsi="Arial Rounded MT Bold" w:cs="Aharoni"/>
                              <w:b w:val="0"/>
                              <w:color w:val="000000" w:themeColor="text1"/>
                              <w:sz w:val="20"/>
                              <w:szCs w:val="20"/>
                              <w:shd w:val="clear" w:color="auto" w:fill="FFFFFF"/>
                            </w:rPr>
                            <w:t xml:space="preserve">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0263FF0C" id="Rectángulo 454" o:spid="_x0000_s1026" style="position:absolute;margin-left:-3.85pt;margin-top:725pt;width:236.95pt;height:4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" o:allowincell="f" filled="f" stroked="f">
              <v:textbox inset=",0">
                <w:txbxContent>
                  <w:p w:rsidR="00C13C74" w:rsidRPr="004F1B88" w:rsidRDefault="005B665D" w:rsidP="005B665D">
                    <w:pPr>
                      <w:rPr>
                        <w:rStyle w:val="Textoennegrita"/>
                        <w:rFonts w:ascii="Arial Rounded MT Bold" w:hAnsi="Arial Rounded MT Bold" w:cs="Aharoni"/>
                        <w:b w:val="0"/>
                        <w:color w:val="000000" w:themeColor="text1"/>
                        <w:sz w:val="20"/>
                        <w:szCs w:val="20"/>
                        <w:shd w:val="clear" w:color="auto" w:fill="FFFFFF"/>
                      </w:rPr>
                    </w:pPr>
                    <w:r w:rsidRPr="004F1B88">
                      <w:rPr>
                        <w:rStyle w:val="Textoennegrita"/>
                        <w:rFonts w:ascii="Arial Rounded MT Bold" w:hAnsi="Arial Rounded MT Bold" w:cs="Aharoni"/>
                        <w:b w:val="0"/>
                        <w:color w:val="000000" w:themeColor="text1"/>
                        <w:sz w:val="20"/>
                        <w:szCs w:val="20"/>
                        <w:shd w:val="clear" w:color="auto" w:fill="FFFFFF"/>
                      </w:rPr>
                      <w:t>Docente: Dra.</w:t>
                    </w:r>
                    <w:r w:rsidR="00827837" w:rsidRPr="004F1B88">
                      <w:rPr>
                        <w:rStyle w:val="Textoennegrita"/>
                        <w:rFonts w:ascii="Arial Rounded MT Bold" w:hAnsi="Arial Rounded MT Bold" w:cs="Aharoni"/>
                        <w:b w:val="0"/>
                        <w:color w:val="000000" w:themeColor="text1"/>
                        <w:sz w:val="20"/>
                        <w:szCs w:val="20"/>
                        <w:shd w:val="clear" w:color="auto" w:fill="FFFFFF"/>
                      </w:rPr>
                      <w:t xml:space="preserve"> Hilda María Jiménez Acevedo</w:t>
                    </w:r>
                  </w:p>
                  <w:p w:rsidR="00827837" w:rsidRPr="004F1B88" w:rsidRDefault="00827837" w:rsidP="005B665D">
                    <w:pPr>
                      <w:rPr>
                        <w:b/>
                        <w:sz w:val="20"/>
                        <w:szCs w:val="20"/>
                        <w:lang w:val="es-ES"/>
                      </w:rPr>
                    </w:pPr>
                    <w:r w:rsidRPr="004F1B88">
                      <w:rPr>
                        <w:rStyle w:val="Textoennegrita"/>
                        <w:rFonts w:ascii="Arial Rounded MT Bold" w:hAnsi="Arial Rounded MT Bold" w:cs="Aharoni"/>
                        <w:b w:val="0"/>
                        <w:color w:val="000000" w:themeColor="text1"/>
                        <w:sz w:val="20"/>
                        <w:szCs w:val="20"/>
                        <w:shd w:val="clear" w:color="auto" w:fill="FFFFFF"/>
                      </w:rPr>
                      <w:t>Alumno:</w:t>
                    </w:r>
                    <w:r w:rsidR="00524BAF" w:rsidRPr="004F1B88">
                      <w:rPr>
                        <w:rStyle w:val="Textoennegrita"/>
                        <w:rFonts w:ascii="Arial Rounded MT Bold" w:hAnsi="Arial Rounded MT Bold" w:cs="Aharoni"/>
                        <w:b w:val="0"/>
                        <w:color w:val="000000" w:themeColor="text1"/>
                        <w:sz w:val="20"/>
                        <w:szCs w:val="20"/>
                        <w:shd w:val="clear" w:color="auto" w:fill="FFFFFF"/>
                      </w:rPr>
                      <w:t xml:space="preserve"> </w:t>
                    </w:r>
                    <w:r w:rsidRPr="004F1B88">
                      <w:rPr>
                        <w:rStyle w:val="Textoennegrita"/>
                        <w:rFonts w:ascii="Arial Rounded MT Bold" w:hAnsi="Arial Rounded MT Bold" w:cs="Aharoni"/>
                        <w:b w:val="0"/>
                        <w:color w:val="000000" w:themeColor="text1"/>
                        <w:sz w:val="20"/>
                        <w:szCs w:val="20"/>
                        <w:shd w:val="clear" w:color="auto" w:fill="FFFFFF"/>
                      </w:rPr>
                      <w:t xml:space="preserve">   Roberto Díaz Bustamante</w:t>
                    </w:r>
                  </w:p>
                </w:txbxContent>
              </v:textbox>
              <w10:wrap anchorx="margin" anchory="page"/>
            </v:rect>
          </w:pict>
        </mc:Fallback>
      </mc:AlternateContent>
    </w:r>
  </w:p>
  <w:p w:rsidR="00827837" w:rsidRDefault="00827837" w:rsidP="00C13C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05C" w:rsidRDefault="0005005C" w:rsidP="00AD6CAF">
      <w:pPr>
        <w:spacing w:after="0" w:line="240" w:lineRule="auto"/>
      </w:pPr>
      <w:r>
        <w:separator/>
      </w:r>
    </w:p>
  </w:footnote>
  <w:footnote w:type="continuationSeparator" w:id="0">
    <w:p w:rsidR="0005005C" w:rsidRDefault="0005005C"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3" name="Imagen 3"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9C3C54" w:rsidRDefault="00AD6CAF" w:rsidP="00AD6CAF">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AD6CAF" w:rsidRPr="009C3C54" w:rsidRDefault="00AD6CAF" w:rsidP="00AD6CAF">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sidRPr="00827837">
            <w:rPr>
              <w:rFonts w:eastAsia="Times New Roman" w:cs="Times New Roman"/>
              <w:sz w:val="24"/>
              <w:szCs w:val="24"/>
              <w:lang w:eastAsia="es-ES"/>
            </w:rPr>
            <w:t>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5C2BCEB0" id="Conector recto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34C0"/>
    <w:multiLevelType w:val="hybridMultilevel"/>
    <w:tmpl w:val="BEFA2EE2"/>
    <w:lvl w:ilvl="0" w:tplc="ECAAC970">
      <w:start w:val="1"/>
      <w:numFmt w:val="decimal"/>
      <w:lvlText w:val="%1."/>
      <w:lvlJc w:val="left"/>
      <w:pPr>
        <w:ind w:left="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32745A">
      <w:start w:val="1"/>
      <w:numFmt w:val="lowerLetter"/>
      <w:lvlText w:val="%2"/>
      <w:lvlJc w:val="left"/>
      <w:pPr>
        <w:ind w:left="2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BA90F6">
      <w:start w:val="1"/>
      <w:numFmt w:val="lowerRoman"/>
      <w:lvlText w:val="%3"/>
      <w:lvlJc w:val="left"/>
      <w:pPr>
        <w:ind w:left="3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04627C">
      <w:start w:val="1"/>
      <w:numFmt w:val="decimal"/>
      <w:lvlText w:val="%4"/>
      <w:lvlJc w:val="left"/>
      <w:pPr>
        <w:ind w:left="3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9E305E">
      <w:start w:val="1"/>
      <w:numFmt w:val="lowerLetter"/>
      <w:lvlText w:val="%5"/>
      <w:lvlJc w:val="left"/>
      <w:pPr>
        <w:ind w:left="4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A0BE84">
      <w:start w:val="1"/>
      <w:numFmt w:val="lowerRoman"/>
      <w:lvlText w:val="%6"/>
      <w:lvlJc w:val="left"/>
      <w:pPr>
        <w:ind w:left="5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F6091E">
      <w:start w:val="1"/>
      <w:numFmt w:val="decimal"/>
      <w:lvlText w:val="%7"/>
      <w:lvlJc w:val="left"/>
      <w:pPr>
        <w:ind w:left="5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E390E">
      <w:start w:val="1"/>
      <w:numFmt w:val="lowerLetter"/>
      <w:lvlText w:val="%8"/>
      <w:lvlJc w:val="left"/>
      <w:pPr>
        <w:ind w:left="6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EE006C">
      <w:start w:val="1"/>
      <w:numFmt w:val="lowerRoman"/>
      <w:lvlText w:val="%9"/>
      <w:lvlJc w:val="left"/>
      <w:pPr>
        <w:ind w:left="7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230169"/>
    <w:multiLevelType w:val="hybridMultilevel"/>
    <w:tmpl w:val="8730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CE0601"/>
    <w:multiLevelType w:val="hybridMultilevel"/>
    <w:tmpl w:val="0C5096C8"/>
    <w:lvl w:ilvl="0" w:tplc="E234764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728CD4">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243CA2">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36D240">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496F0">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80496">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8AC32">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D00C1A">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E6C46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05005C"/>
    <w:rsid w:val="000619C9"/>
    <w:rsid w:val="000F0616"/>
    <w:rsid w:val="00105358"/>
    <w:rsid w:val="001F02D3"/>
    <w:rsid w:val="001F3980"/>
    <w:rsid w:val="002D172B"/>
    <w:rsid w:val="002E53DF"/>
    <w:rsid w:val="0035171A"/>
    <w:rsid w:val="003635F4"/>
    <w:rsid w:val="003A3D17"/>
    <w:rsid w:val="003B00AE"/>
    <w:rsid w:val="003B71B3"/>
    <w:rsid w:val="003C1D6C"/>
    <w:rsid w:val="003E19DA"/>
    <w:rsid w:val="00465E3A"/>
    <w:rsid w:val="004F1B88"/>
    <w:rsid w:val="00500071"/>
    <w:rsid w:val="005073E7"/>
    <w:rsid w:val="00524BAF"/>
    <w:rsid w:val="005376E0"/>
    <w:rsid w:val="00542AA2"/>
    <w:rsid w:val="00552951"/>
    <w:rsid w:val="005618A2"/>
    <w:rsid w:val="00580B99"/>
    <w:rsid w:val="005979B4"/>
    <w:rsid w:val="005A7B45"/>
    <w:rsid w:val="005B192B"/>
    <w:rsid w:val="005B665D"/>
    <w:rsid w:val="005F08F6"/>
    <w:rsid w:val="006B64DF"/>
    <w:rsid w:val="006C2671"/>
    <w:rsid w:val="00733BB2"/>
    <w:rsid w:val="00741D82"/>
    <w:rsid w:val="0075687C"/>
    <w:rsid w:val="00773814"/>
    <w:rsid w:val="007A15B3"/>
    <w:rsid w:val="007E3937"/>
    <w:rsid w:val="00827837"/>
    <w:rsid w:val="00831213"/>
    <w:rsid w:val="008601D7"/>
    <w:rsid w:val="008F665D"/>
    <w:rsid w:val="00906938"/>
    <w:rsid w:val="00923D1D"/>
    <w:rsid w:val="009567E6"/>
    <w:rsid w:val="00957919"/>
    <w:rsid w:val="009846B8"/>
    <w:rsid w:val="009B7AFE"/>
    <w:rsid w:val="009E0AB3"/>
    <w:rsid w:val="00A34DF5"/>
    <w:rsid w:val="00A7413B"/>
    <w:rsid w:val="00AD6CAF"/>
    <w:rsid w:val="00B85127"/>
    <w:rsid w:val="00BB3965"/>
    <w:rsid w:val="00BE05F8"/>
    <w:rsid w:val="00C13C74"/>
    <w:rsid w:val="00C659D4"/>
    <w:rsid w:val="00CD41A1"/>
    <w:rsid w:val="00CE5979"/>
    <w:rsid w:val="00D33572"/>
    <w:rsid w:val="00D54FD1"/>
    <w:rsid w:val="00DA1441"/>
    <w:rsid w:val="00DE6D7C"/>
    <w:rsid w:val="00E02684"/>
    <w:rsid w:val="00E17FFD"/>
    <w:rsid w:val="00E2275D"/>
    <w:rsid w:val="00E56D93"/>
    <w:rsid w:val="00E768F2"/>
    <w:rsid w:val="00EF5A27"/>
    <w:rsid w:val="00F06118"/>
    <w:rsid w:val="00F335C1"/>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05072"/>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67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paragraph" w:styleId="Ttulo2">
    <w:name w:val="heading 2"/>
    <w:basedOn w:val="Normal"/>
    <w:next w:val="Normal"/>
    <w:link w:val="Ttulo2Car"/>
    <w:uiPriority w:val="9"/>
    <w:semiHidden/>
    <w:unhideWhenUsed/>
    <w:qFormat/>
    <w:rsid w:val="005A7B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85127"/>
    <w:pPr>
      <w:keepNext/>
      <w:keepLines/>
      <w:spacing w:before="40" w:after="0" w:line="255" w:lineRule="auto"/>
      <w:ind w:left="3118" w:firstLine="559"/>
      <w:jc w:val="both"/>
      <w:outlineLvl w:val="2"/>
    </w:pPr>
    <w:rPr>
      <w:rFonts w:asciiTheme="majorHAnsi" w:eastAsiaTheme="majorEastAsia" w:hAnsiTheme="majorHAnsi" w:cstheme="majorBidi"/>
      <w:color w:val="243F60"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 w:type="character" w:customStyle="1" w:styleId="apple-converted-space">
    <w:name w:val="apple-converted-space"/>
    <w:basedOn w:val="Fuentedeprrafopredeter"/>
    <w:rsid w:val="00C13C74"/>
  </w:style>
  <w:style w:type="character" w:styleId="Hipervnculo">
    <w:name w:val="Hyperlink"/>
    <w:basedOn w:val="Fuentedeprrafopredeter"/>
    <w:uiPriority w:val="99"/>
    <w:semiHidden/>
    <w:unhideWhenUsed/>
    <w:rsid w:val="00C13C74"/>
    <w:rPr>
      <w:color w:val="0000FF"/>
      <w:u w:val="single"/>
    </w:rPr>
  </w:style>
  <w:style w:type="paragraph" w:styleId="Textodeglobo">
    <w:name w:val="Balloon Text"/>
    <w:basedOn w:val="Normal"/>
    <w:link w:val="TextodegloboCar"/>
    <w:uiPriority w:val="99"/>
    <w:semiHidden/>
    <w:unhideWhenUsed/>
    <w:rsid w:val="00C13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C74"/>
    <w:rPr>
      <w:rFonts w:ascii="Segoe UI" w:hAnsi="Segoe UI" w:cs="Segoe UI"/>
      <w:sz w:val="18"/>
      <w:szCs w:val="18"/>
    </w:rPr>
  </w:style>
  <w:style w:type="character" w:customStyle="1" w:styleId="Ttulo1Car">
    <w:name w:val="Título 1 Car"/>
    <w:basedOn w:val="Fuentedeprrafopredeter"/>
    <w:link w:val="Ttulo1"/>
    <w:rsid w:val="006C2671"/>
    <w:rPr>
      <w:rFonts w:asciiTheme="majorHAnsi" w:eastAsiaTheme="majorEastAsia" w:hAnsiTheme="majorHAnsi" w:cstheme="majorBidi"/>
      <w:color w:val="365F91" w:themeColor="accent1" w:themeShade="BF"/>
      <w:sz w:val="32"/>
      <w:szCs w:val="32"/>
      <w:lang w:val="es-ES" w:eastAsia="es-ES"/>
    </w:rPr>
  </w:style>
  <w:style w:type="paragraph" w:styleId="Prrafodelista">
    <w:name w:val="List Paragraph"/>
    <w:basedOn w:val="Normal"/>
    <w:uiPriority w:val="34"/>
    <w:qFormat/>
    <w:rsid w:val="00E768F2"/>
    <w:pPr>
      <w:ind w:left="720"/>
      <w:contextualSpacing/>
    </w:pPr>
  </w:style>
  <w:style w:type="paragraph" w:customStyle="1" w:styleId="footnotedescription">
    <w:name w:val="footnote description"/>
    <w:next w:val="Normal"/>
    <w:link w:val="footnotedescriptionChar"/>
    <w:hidden/>
    <w:rsid w:val="00DA1441"/>
    <w:pPr>
      <w:spacing w:after="0" w:line="259" w:lineRule="auto"/>
    </w:pPr>
    <w:rPr>
      <w:rFonts w:ascii="Times New Roman" w:eastAsia="Times New Roman" w:hAnsi="Times New Roman" w:cs="Times New Roman"/>
      <w:color w:val="000000"/>
      <w:sz w:val="16"/>
      <w:lang w:val="es-ES" w:eastAsia="es-ES"/>
    </w:rPr>
  </w:style>
  <w:style w:type="character" w:customStyle="1" w:styleId="footnotedescriptionChar">
    <w:name w:val="footnote description Char"/>
    <w:link w:val="footnotedescription"/>
    <w:rsid w:val="00DA1441"/>
    <w:rPr>
      <w:rFonts w:ascii="Times New Roman" w:eastAsia="Times New Roman" w:hAnsi="Times New Roman" w:cs="Times New Roman"/>
      <w:color w:val="000000"/>
      <w:sz w:val="16"/>
      <w:lang w:val="es-ES" w:eastAsia="es-ES"/>
    </w:rPr>
  </w:style>
  <w:style w:type="character" w:customStyle="1" w:styleId="footnotemark">
    <w:name w:val="footnote mark"/>
    <w:hidden/>
    <w:rsid w:val="00DA1441"/>
    <w:rPr>
      <w:rFonts w:ascii="Times New Roman" w:eastAsia="Times New Roman" w:hAnsi="Times New Roman" w:cs="Times New Roman"/>
      <w:color w:val="000000"/>
      <w:sz w:val="16"/>
      <w:vertAlign w:val="superscript"/>
    </w:rPr>
  </w:style>
  <w:style w:type="character" w:customStyle="1" w:styleId="Ttulo2Car">
    <w:name w:val="Título 2 Car"/>
    <w:basedOn w:val="Fuentedeprrafopredeter"/>
    <w:link w:val="Ttulo2"/>
    <w:uiPriority w:val="9"/>
    <w:semiHidden/>
    <w:rsid w:val="005A7B4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B85127"/>
    <w:rPr>
      <w:rFonts w:asciiTheme="majorHAnsi" w:eastAsiaTheme="majorEastAsia" w:hAnsiTheme="majorHAnsi" w:cstheme="majorBidi"/>
      <w:color w:val="243F60"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84">
      <w:bodyDiv w:val="1"/>
      <w:marLeft w:val="0"/>
      <w:marRight w:val="0"/>
      <w:marTop w:val="0"/>
      <w:marBottom w:val="0"/>
      <w:divBdr>
        <w:top w:val="none" w:sz="0" w:space="0" w:color="auto"/>
        <w:left w:val="none" w:sz="0" w:space="0" w:color="auto"/>
        <w:bottom w:val="none" w:sz="0" w:space="0" w:color="auto"/>
        <w:right w:val="none" w:sz="0" w:space="0" w:color="auto"/>
      </w:divBdr>
    </w:div>
    <w:div w:id="16185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B2F6-3576-4170-BCAC-FA6C208C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consultoría</cp:lastModifiedBy>
  <cp:revision>24</cp:revision>
  <dcterms:created xsi:type="dcterms:W3CDTF">2016-05-10T01:05:00Z</dcterms:created>
  <dcterms:modified xsi:type="dcterms:W3CDTF">2016-05-27T01:24:00Z</dcterms:modified>
</cp:coreProperties>
</file>