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3"/>
        <w:tblW w:w="13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4759"/>
        <w:gridCol w:w="2045"/>
        <w:gridCol w:w="1842"/>
      </w:tblGrid>
      <w:tr w:rsidR="0040268B" w:rsidRPr="00BE127C" w:rsidTr="008F22E1">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957" w:type="dxa"/>
            <w:tcBorders>
              <w:bottom w:val="single" w:sz="4" w:space="0" w:color="auto"/>
              <w:right w:val="single" w:sz="4" w:space="0" w:color="auto"/>
            </w:tcBorders>
            <w:shd w:val="clear" w:color="auto" w:fill="D9D9D9" w:themeFill="background1" w:themeFillShade="D9"/>
            <w:hideMark/>
          </w:tcPr>
          <w:p w:rsidR="0040268B" w:rsidRPr="00BE127C" w:rsidRDefault="0040268B" w:rsidP="00BE127C">
            <w:pPr>
              <w:spacing w:line="240" w:lineRule="auto"/>
              <w:jc w:val="center"/>
              <w:rPr>
                <w:rFonts w:ascii="Arial" w:hAnsi="Arial" w:cs="Arial"/>
                <w:b w:val="0"/>
                <w:sz w:val="24"/>
                <w:szCs w:val="24"/>
              </w:rPr>
            </w:pPr>
            <w:r w:rsidRPr="00BE127C">
              <w:rPr>
                <w:rFonts w:ascii="Arial" w:hAnsi="Arial" w:cs="Arial"/>
                <w:b w:val="0"/>
                <w:color w:val="222222"/>
                <w:sz w:val="24"/>
                <w:szCs w:val="24"/>
              </w:rPr>
              <w:t>Los principios de la declaración de Lima sobre las líneas básicas de la Fiscalización</w:t>
            </w:r>
            <w:r>
              <w:rPr>
                <w:rFonts w:ascii="Arial" w:hAnsi="Arial" w:cs="Arial"/>
                <w:b w:val="0"/>
                <w:color w:val="222222"/>
                <w:sz w:val="24"/>
                <w:szCs w:val="24"/>
              </w:rPr>
              <w:t>.</w:t>
            </w:r>
          </w:p>
        </w:tc>
        <w:tc>
          <w:tcPr>
            <w:tcW w:w="4759" w:type="dxa"/>
            <w:tcBorders>
              <w:left w:val="single" w:sz="4" w:space="0" w:color="auto"/>
              <w:bottom w:val="single" w:sz="4" w:space="0" w:color="auto"/>
              <w:right w:val="single" w:sz="4" w:space="0" w:color="auto"/>
            </w:tcBorders>
            <w:shd w:val="clear" w:color="auto" w:fill="D9D9D9" w:themeFill="background1" w:themeFillShade="D9"/>
            <w:hideMark/>
          </w:tcPr>
          <w:p w:rsidR="0040268B" w:rsidRPr="00BE127C" w:rsidRDefault="0040268B" w:rsidP="00BE127C">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BE127C">
              <w:rPr>
                <w:rFonts w:ascii="Arial" w:hAnsi="Arial" w:cs="Arial"/>
                <w:b w:val="0"/>
                <w:color w:val="222222"/>
                <w:sz w:val="24"/>
                <w:szCs w:val="24"/>
              </w:rPr>
              <w:t>Los principios de la declaración de México sobre independencia de las Entidades Fiscalizadoras Superiores</w:t>
            </w:r>
            <w:r>
              <w:rPr>
                <w:rFonts w:ascii="Arial" w:hAnsi="Arial" w:cs="Arial"/>
                <w:b w:val="0"/>
                <w:color w:val="222222"/>
                <w:sz w:val="24"/>
                <w:szCs w:val="24"/>
              </w:rPr>
              <w:t>.</w:t>
            </w:r>
          </w:p>
        </w:tc>
        <w:tc>
          <w:tcPr>
            <w:tcW w:w="3887" w:type="dxa"/>
            <w:gridSpan w:val="2"/>
            <w:vMerge w:val="restart"/>
            <w:tcBorders>
              <w:left w:val="single" w:sz="4" w:space="0" w:color="auto"/>
            </w:tcBorders>
            <w:shd w:val="clear" w:color="auto" w:fill="D9D9D9" w:themeFill="background1" w:themeFillShade="D9"/>
            <w:hideMark/>
          </w:tcPr>
          <w:p w:rsidR="0040268B" w:rsidRPr="007F6A40" w:rsidRDefault="0040268B" w:rsidP="00CE345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7F6A40">
              <w:rPr>
                <w:rFonts w:ascii="Arial" w:hAnsi="Arial" w:cs="Arial"/>
                <w:color w:val="222222"/>
                <w:sz w:val="24"/>
                <w:szCs w:val="24"/>
              </w:rPr>
              <w:t>Constitución Política de los Estados Unidos Mexicanos</w:t>
            </w:r>
          </w:p>
          <w:p w:rsidR="0040268B" w:rsidRPr="007F6A40" w:rsidRDefault="0040268B" w:rsidP="00CE345D">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222222"/>
                <w:sz w:val="24"/>
                <w:szCs w:val="24"/>
              </w:rPr>
            </w:pPr>
            <w:r w:rsidRPr="007F6A40">
              <w:rPr>
                <w:rFonts w:ascii="Arial" w:hAnsi="Arial" w:cs="Arial"/>
                <w:color w:val="222222"/>
                <w:sz w:val="24"/>
                <w:szCs w:val="24"/>
              </w:rPr>
              <w:t>Artículo 79</w:t>
            </w:r>
          </w:p>
          <w:p w:rsidR="0040268B" w:rsidRPr="00BE127C" w:rsidRDefault="0040268B" w:rsidP="0040268B">
            <w:pPr>
              <w:spacing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222222"/>
                <w:sz w:val="24"/>
                <w:szCs w:val="24"/>
              </w:rPr>
            </w:pPr>
            <w:r>
              <w:rPr>
                <w:rFonts w:ascii="Arial" w:hAnsi="Arial" w:cs="Arial"/>
                <w:b w:val="0"/>
                <w:color w:val="222222"/>
                <w:sz w:val="24"/>
                <w:szCs w:val="24"/>
              </w:rPr>
              <w:t xml:space="preserve">¿Se da </w:t>
            </w:r>
            <w:r w:rsidRPr="00BE127C">
              <w:rPr>
                <w:rFonts w:ascii="Arial" w:hAnsi="Arial" w:cs="Arial"/>
                <w:b w:val="0"/>
                <w:color w:val="222222"/>
                <w:sz w:val="24"/>
                <w:szCs w:val="24"/>
              </w:rPr>
              <w:t xml:space="preserve">cumplimiento o no </w:t>
            </w:r>
            <w:r>
              <w:rPr>
                <w:rFonts w:ascii="Arial" w:hAnsi="Arial" w:cs="Arial"/>
                <w:b w:val="0"/>
                <w:color w:val="222222"/>
                <w:sz w:val="24"/>
                <w:szCs w:val="24"/>
              </w:rPr>
              <w:t>a</w:t>
            </w:r>
            <w:r w:rsidRPr="00BE127C">
              <w:rPr>
                <w:rFonts w:ascii="Arial" w:hAnsi="Arial" w:cs="Arial"/>
                <w:b w:val="0"/>
                <w:color w:val="222222"/>
                <w:sz w:val="24"/>
                <w:szCs w:val="24"/>
              </w:rPr>
              <w:t xml:space="preserve"> los principios de la declaración de México sobre independencia de las Entidades F</w:t>
            </w:r>
            <w:r>
              <w:rPr>
                <w:rFonts w:ascii="Arial" w:hAnsi="Arial" w:cs="Arial"/>
                <w:b w:val="0"/>
                <w:color w:val="222222"/>
                <w:sz w:val="24"/>
                <w:szCs w:val="24"/>
              </w:rPr>
              <w:t>i</w:t>
            </w:r>
            <w:r w:rsidRPr="00BE127C">
              <w:rPr>
                <w:rFonts w:ascii="Arial" w:hAnsi="Arial" w:cs="Arial"/>
                <w:b w:val="0"/>
                <w:color w:val="222222"/>
                <w:sz w:val="24"/>
                <w:szCs w:val="24"/>
              </w:rPr>
              <w:t>scalizados Superiores</w:t>
            </w:r>
            <w:r>
              <w:rPr>
                <w:rFonts w:ascii="Arial" w:hAnsi="Arial" w:cs="Arial"/>
                <w:b w:val="0"/>
                <w:color w:val="222222"/>
                <w:sz w:val="24"/>
                <w:szCs w:val="24"/>
              </w:rPr>
              <w:t>?</w:t>
            </w:r>
          </w:p>
        </w:tc>
      </w:tr>
      <w:tr w:rsidR="0040268B" w:rsidRPr="00BE127C" w:rsidTr="002F7CE6">
        <w:trPr>
          <w:cnfStyle w:val="000000100000" w:firstRow="0" w:lastRow="0" w:firstColumn="0" w:lastColumn="0" w:oddVBand="0" w:evenVBand="0" w:oddHBand="1" w:evenHBand="0" w:firstRowFirstColumn="0" w:firstRowLastColumn="0" w:lastRowFirstColumn="0" w:lastRowLastColumn="0"/>
          <w:trHeight w:val="3267"/>
        </w:trPr>
        <w:tc>
          <w:tcPr>
            <w:cnfStyle w:val="001000000000" w:firstRow="0" w:lastRow="0" w:firstColumn="1" w:lastColumn="0" w:oddVBand="0" w:evenVBand="0" w:oddHBand="0" w:evenHBand="0" w:firstRowFirstColumn="0" w:firstRowLastColumn="0" w:lastRowFirstColumn="0" w:lastRowLastColumn="0"/>
            <w:tcW w:w="4957" w:type="dxa"/>
            <w:tcBorders>
              <w:top w:val="single" w:sz="4" w:space="0" w:color="auto"/>
              <w:bottom w:val="nil"/>
            </w:tcBorders>
            <w:shd w:val="clear" w:color="auto" w:fill="F2F2F2" w:themeFill="background1" w:themeFillShade="F2"/>
          </w:tcPr>
          <w:p w:rsidR="0040268B" w:rsidRPr="00BE127C" w:rsidRDefault="0040268B" w:rsidP="0040268B">
            <w:pPr>
              <w:spacing w:line="240" w:lineRule="auto"/>
              <w:jc w:val="both"/>
              <w:rPr>
                <w:rFonts w:ascii="Arial" w:hAnsi="Arial" w:cs="Arial"/>
                <w:color w:val="222222"/>
                <w:sz w:val="24"/>
                <w:szCs w:val="24"/>
              </w:rPr>
            </w:pPr>
            <w:r>
              <w:rPr>
                <w:rFonts w:ascii="Arial" w:hAnsi="Arial" w:cs="Arial"/>
                <w:b w:val="0"/>
                <w:color w:val="222222"/>
                <w:sz w:val="24"/>
                <w:szCs w:val="24"/>
              </w:rPr>
              <w:t xml:space="preserve">En 1977, </w:t>
            </w:r>
            <w:r w:rsidRPr="00CD731B">
              <w:rPr>
                <w:rFonts w:ascii="Arial" w:hAnsi="Arial" w:cs="Arial"/>
                <w:b w:val="0"/>
                <w:color w:val="222222"/>
                <w:sz w:val="24"/>
                <w:szCs w:val="24"/>
              </w:rPr>
              <w:t xml:space="preserve">la declaración de Lima sobre las líneas básicas de la Fiscalización, acordó 25 artículos que contribuyen </w:t>
            </w:r>
            <w:r w:rsidRPr="00CD731B">
              <w:rPr>
                <w:rFonts w:ascii="Arial" w:hAnsi="Arial" w:cs="Arial"/>
                <w:b w:val="0"/>
                <w:color w:val="1B1C20"/>
                <w:sz w:val="24"/>
                <w:szCs w:val="24"/>
              </w:rPr>
              <w:t xml:space="preserve">controlar </w:t>
            </w:r>
            <w:r>
              <w:rPr>
                <w:rFonts w:ascii="Arial" w:hAnsi="Arial" w:cs="Arial"/>
                <w:b w:val="0"/>
                <w:color w:val="1B1C20"/>
                <w:sz w:val="24"/>
                <w:szCs w:val="24"/>
              </w:rPr>
              <w:t>los fondos públicos a fin de que se apliquen</w:t>
            </w:r>
            <w:r w:rsidRPr="00CD731B">
              <w:rPr>
                <w:rFonts w:ascii="Arial" w:hAnsi="Arial" w:cs="Arial"/>
                <w:b w:val="0"/>
                <w:color w:val="1B1C20"/>
                <w:sz w:val="24"/>
                <w:szCs w:val="24"/>
              </w:rPr>
              <w:t xml:space="preserve"> </w:t>
            </w:r>
            <w:r>
              <w:rPr>
                <w:rFonts w:ascii="Arial" w:hAnsi="Arial" w:cs="Arial"/>
                <w:b w:val="0"/>
                <w:color w:val="1B1C20"/>
                <w:sz w:val="24"/>
                <w:szCs w:val="24"/>
              </w:rPr>
              <w:t>e</w:t>
            </w:r>
            <w:r w:rsidRPr="00CD731B">
              <w:rPr>
                <w:rFonts w:ascii="Arial" w:hAnsi="Arial" w:cs="Arial"/>
                <w:b w:val="0"/>
                <w:color w:val="1B1C20"/>
                <w:sz w:val="24"/>
                <w:szCs w:val="24"/>
              </w:rPr>
              <w:t>ficaz, eficiente, económica y de acuerdo a los principios de la legalidad y regularidad</w:t>
            </w:r>
            <w:r>
              <w:rPr>
                <w:rFonts w:ascii="Arial" w:hAnsi="Arial" w:cs="Arial"/>
                <w:b w:val="0"/>
                <w:color w:val="1B1C20"/>
                <w:sz w:val="24"/>
                <w:szCs w:val="24"/>
              </w:rPr>
              <w:t>. Lo anterior a fin</w:t>
            </w:r>
            <w:r w:rsidRPr="00CD731B">
              <w:rPr>
                <w:rFonts w:ascii="Arial" w:hAnsi="Arial" w:cs="Arial"/>
                <w:b w:val="0"/>
                <w:color w:val="222222"/>
                <w:sz w:val="24"/>
                <w:szCs w:val="24"/>
              </w:rPr>
              <w:t xml:space="preserve"> de regular y racionalizar estrictamente los recursos públicos</w:t>
            </w:r>
            <w:r>
              <w:rPr>
                <w:rFonts w:ascii="Arial" w:hAnsi="Arial" w:cs="Arial"/>
                <w:b w:val="0"/>
                <w:color w:val="222222"/>
                <w:sz w:val="24"/>
                <w:szCs w:val="24"/>
              </w:rPr>
              <w:t>;</w:t>
            </w:r>
            <w:r w:rsidRPr="00CD731B">
              <w:rPr>
                <w:rFonts w:ascii="Arial" w:hAnsi="Arial" w:cs="Arial"/>
                <w:b w:val="0"/>
                <w:color w:val="222222"/>
                <w:sz w:val="24"/>
                <w:szCs w:val="24"/>
              </w:rPr>
              <w:t xml:space="preserve"> que garantice el buen manejo de las finanzas y eficacia </w:t>
            </w:r>
            <w:r>
              <w:rPr>
                <w:rFonts w:ascii="Arial" w:hAnsi="Arial" w:cs="Arial"/>
                <w:b w:val="0"/>
                <w:color w:val="222222"/>
                <w:sz w:val="24"/>
                <w:szCs w:val="24"/>
              </w:rPr>
              <w:t>en quienes ejercen el gasto.</w:t>
            </w:r>
          </w:p>
        </w:tc>
        <w:tc>
          <w:tcPr>
            <w:tcW w:w="4759" w:type="dxa"/>
            <w:tcBorders>
              <w:top w:val="single" w:sz="4" w:space="0" w:color="auto"/>
              <w:bottom w:val="nil"/>
            </w:tcBorders>
            <w:shd w:val="clear" w:color="auto" w:fill="F2F2F2" w:themeFill="background1" w:themeFillShade="F2"/>
          </w:tcPr>
          <w:p w:rsidR="0040268B" w:rsidRPr="00BE127C" w:rsidRDefault="0040268B" w:rsidP="0040268B">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rPr>
            </w:pPr>
            <w:r>
              <w:rPr>
                <w:rFonts w:ascii="Arial" w:hAnsi="Arial" w:cs="Arial"/>
                <w:color w:val="1B1C20"/>
                <w:sz w:val="24"/>
                <w:szCs w:val="24"/>
              </w:rPr>
              <w:t>En 2007, la Organi</w:t>
            </w:r>
            <w:r w:rsidRPr="00BB2B66">
              <w:rPr>
                <w:rFonts w:ascii="Arial" w:hAnsi="Arial" w:cs="Arial"/>
                <w:color w:val="1B1C20"/>
                <w:sz w:val="24"/>
                <w:szCs w:val="24"/>
              </w:rPr>
              <w:t>zación Internacional de Entidades Fiscalizadoras Superiores</w:t>
            </w:r>
            <w:r>
              <w:rPr>
                <w:rFonts w:ascii="Arial" w:hAnsi="Arial" w:cs="Arial"/>
                <w:color w:val="1B1C20"/>
                <w:sz w:val="24"/>
                <w:szCs w:val="24"/>
              </w:rPr>
              <w:t xml:space="preserve">, celebrada en México, </w:t>
            </w:r>
            <w:r w:rsidRPr="00EA6181">
              <w:rPr>
                <w:rFonts w:ascii="Arial" w:hAnsi="Arial" w:cs="Arial"/>
                <w:color w:val="1B1C20"/>
                <w:sz w:val="24"/>
                <w:szCs w:val="24"/>
              </w:rPr>
              <w:t xml:space="preserve">definió ocho </w:t>
            </w:r>
            <w:r>
              <w:rPr>
                <w:rFonts w:ascii="Arial" w:hAnsi="Arial" w:cs="Arial"/>
                <w:color w:val="1B1C20"/>
                <w:sz w:val="24"/>
                <w:szCs w:val="24"/>
              </w:rPr>
              <w:t>bases</w:t>
            </w:r>
            <w:r w:rsidRPr="00EA6181">
              <w:rPr>
                <w:rFonts w:ascii="Arial" w:hAnsi="Arial" w:cs="Arial"/>
                <w:color w:val="1B1C20"/>
                <w:sz w:val="24"/>
                <w:szCs w:val="24"/>
              </w:rPr>
              <w:t xml:space="preserve"> de la auditoria gubernamental externa</w:t>
            </w:r>
            <w:r>
              <w:rPr>
                <w:rFonts w:ascii="Arial" w:hAnsi="Arial" w:cs="Arial"/>
                <w:color w:val="1B1C20"/>
                <w:sz w:val="24"/>
                <w:szCs w:val="24"/>
              </w:rPr>
              <w:t xml:space="preserve">, ello a fin de </w:t>
            </w:r>
            <w:r w:rsidRPr="00EA6181">
              <w:rPr>
                <w:rFonts w:ascii="Arial" w:hAnsi="Arial" w:cs="Arial"/>
                <w:color w:val="1B1C20"/>
                <w:sz w:val="24"/>
                <w:szCs w:val="24"/>
              </w:rPr>
              <w:t xml:space="preserve">contar con autonomía </w:t>
            </w:r>
            <w:r>
              <w:rPr>
                <w:rFonts w:ascii="Arial" w:hAnsi="Arial" w:cs="Arial"/>
                <w:color w:val="1B1C20"/>
                <w:sz w:val="24"/>
                <w:szCs w:val="24"/>
              </w:rPr>
              <w:t>e</w:t>
            </w:r>
            <w:r w:rsidRPr="00EA6181">
              <w:rPr>
                <w:rFonts w:ascii="Arial" w:hAnsi="Arial" w:cs="Arial"/>
                <w:color w:val="1B1C20"/>
                <w:sz w:val="24"/>
                <w:szCs w:val="24"/>
              </w:rPr>
              <w:t xml:space="preserve"> independencia para disponer de los recursos financieros, materiales y humanos </w:t>
            </w:r>
            <w:r>
              <w:rPr>
                <w:rFonts w:ascii="Arial" w:hAnsi="Arial" w:cs="Arial"/>
                <w:color w:val="1B1C20"/>
                <w:sz w:val="24"/>
                <w:szCs w:val="24"/>
              </w:rPr>
              <w:t xml:space="preserve">que contribuyan a la </w:t>
            </w:r>
            <w:r w:rsidRPr="00EA6181">
              <w:rPr>
                <w:rFonts w:ascii="Arial" w:hAnsi="Arial" w:cs="Arial"/>
                <w:color w:val="1B1C20"/>
                <w:sz w:val="24"/>
                <w:szCs w:val="24"/>
              </w:rPr>
              <w:t>efi</w:t>
            </w:r>
            <w:r>
              <w:rPr>
                <w:rFonts w:ascii="Arial" w:hAnsi="Arial" w:cs="Arial"/>
                <w:color w:val="1B1C20"/>
                <w:sz w:val="24"/>
                <w:szCs w:val="24"/>
              </w:rPr>
              <w:t xml:space="preserve">cacia de las </w:t>
            </w:r>
            <w:r w:rsidRPr="00EA6181">
              <w:rPr>
                <w:rFonts w:ascii="Arial" w:hAnsi="Arial" w:cs="Arial"/>
                <w:color w:val="1B1C20"/>
                <w:sz w:val="24"/>
                <w:szCs w:val="24"/>
              </w:rPr>
              <w:t xml:space="preserve">responsabilidades </w:t>
            </w:r>
            <w:r>
              <w:rPr>
                <w:rFonts w:ascii="Arial" w:hAnsi="Arial" w:cs="Arial"/>
                <w:color w:val="1B1C20"/>
                <w:sz w:val="24"/>
                <w:szCs w:val="24"/>
              </w:rPr>
              <w:t xml:space="preserve">en apego a los ordenamientos jurídicos, </w:t>
            </w:r>
            <w:r w:rsidRPr="00EA6181">
              <w:rPr>
                <w:rFonts w:ascii="Arial" w:hAnsi="Arial" w:cs="Arial"/>
                <w:color w:val="1B1C20"/>
                <w:sz w:val="24"/>
                <w:szCs w:val="24"/>
              </w:rPr>
              <w:t>garantiza</w:t>
            </w:r>
            <w:r>
              <w:rPr>
                <w:rFonts w:ascii="Arial" w:hAnsi="Arial" w:cs="Arial"/>
                <w:color w:val="1B1C20"/>
                <w:sz w:val="24"/>
                <w:szCs w:val="24"/>
              </w:rPr>
              <w:t>ndo objetividad</w:t>
            </w:r>
            <w:r w:rsidRPr="00EA6181">
              <w:rPr>
                <w:rFonts w:ascii="Arial" w:hAnsi="Arial" w:cs="Arial"/>
                <w:color w:val="1B1C20"/>
                <w:sz w:val="24"/>
                <w:szCs w:val="24"/>
              </w:rPr>
              <w:t xml:space="preserve">, credibilidad, la transparencia </w:t>
            </w:r>
            <w:r>
              <w:rPr>
                <w:rFonts w:ascii="Arial" w:hAnsi="Arial" w:cs="Arial"/>
                <w:color w:val="1B1C20"/>
                <w:sz w:val="24"/>
                <w:szCs w:val="24"/>
              </w:rPr>
              <w:t>y</w:t>
            </w:r>
            <w:r w:rsidRPr="00EA6181">
              <w:rPr>
                <w:rFonts w:ascii="Arial" w:hAnsi="Arial" w:cs="Arial"/>
                <w:color w:val="1B1C20"/>
                <w:sz w:val="24"/>
                <w:szCs w:val="24"/>
              </w:rPr>
              <w:t xml:space="preserve"> acciones preventivas o correctivas para la mejora de los gobiernos.</w:t>
            </w:r>
          </w:p>
        </w:tc>
        <w:tc>
          <w:tcPr>
            <w:tcW w:w="3887" w:type="dxa"/>
            <w:gridSpan w:val="2"/>
            <w:vMerge/>
            <w:shd w:val="clear" w:color="auto" w:fill="D9D9D9" w:themeFill="background1" w:themeFillShade="D9"/>
          </w:tcPr>
          <w:p w:rsidR="0040268B" w:rsidRPr="007F6A40" w:rsidRDefault="0040268B" w:rsidP="0040268B">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4"/>
                <w:szCs w:val="24"/>
              </w:rPr>
            </w:pPr>
          </w:p>
        </w:tc>
      </w:tr>
      <w:tr w:rsidR="008F22E1" w:rsidRPr="00BE127C" w:rsidTr="002F7CE6">
        <w:trPr>
          <w:trHeight w:val="227"/>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40268B" w:rsidRPr="00CD731B" w:rsidRDefault="0040268B" w:rsidP="0040268B">
            <w:pPr>
              <w:spacing w:line="240" w:lineRule="auto"/>
              <w:ind w:left="360"/>
              <w:contextualSpacing/>
              <w:jc w:val="both"/>
              <w:rPr>
                <w:rFonts w:ascii="Arial" w:hAnsi="Arial" w:cs="Arial"/>
                <w:color w:val="1B1C20"/>
                <w:sz w:val="24"/>
                <w:szCs w:val="24"/>
              </w:rPr>
            </w:pPr>
          </w:p>
        </w:tc>
        <w:tc>
          <w:tcPr>
            <w:tcW w:w="4759" w:type="dxa"/>
            <w:tcBorders>
              <w:top w:val="nil"/>
            </w:tcBorders>
            <w:shd w:val="clear" w:color="auto" w:fill="F2F2F2" w:themeFill="background1" w:themeFillShade="F2"/>
          </w:tcPr>
          <w:p w:rsidR="0040268B" w:rsidRPr="00A41459" w:rsidRDefault="0040268B" w:rsidP="0040268B">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DEEAF6" w:themeFill="accent1" w:themeFillTint="33"/>
          </w:tcPr>
          <w:p w:rsidR="0040268B" w:rsidRPr="00BE127C" w:rsidRDefault="0040268B" w:rsidP="0040268B">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r w:rsidRPr="00BE127C">
              <w:rPr>
                <w:rFonts w:ascii="Arial" w:hAnsi="Arial" w:cs="Arial"/>
                <w:b/>
                <w:color w:val="222222"/>
                <w:sz w:val="24"/>
                <w:szCs w:val="24"/>
              </w:rPr>
              <w:t xml:space="preserve">Si se </w:t>
            </w:r>
            <w:r>
              <w:rPr>
                <w:rFonts w:ascii="Arial" w:hAnsi="Arial" w:cs="Arial"/>
                <w:b/>
                <w:color w:val="222222"/>
                <w:sz w:val="24"/>
                <w:szCs w:val="24"/>
              </w:rPr>
              <w:t>da cumplimiento</w:t>
            </w:r>
          </w:p>
        </w:tc>
        <w:tc>
          <w:tcPr>
            <w:tcW w:w="1842" w:type="dxa"/>
            <w:shd w:val="clear" w:color="auto" w:fill="DEEAF6" w:themeFill="accent1" w:themeFillTint="33"/>
          </w:tcPr>
          <w:p w:rsidR="0040268B" w:rsidRPr="00BE127C" w:rsidRDefault="0040268B" w:rsidP="0040268B">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r w:rsidRPr="00BE127C">
              <w:rPr>
                <w:rFonts w:ascii="Arial" w:hAnsi="Arial" w:cs="Arial"/>
                <w:b/>
                <w:color w:val="222222"/>
                <w:sz w:val="24"/>
                <w:szCs w:val="24"/>
              </w:rPr>
              <w:t>No se</w:t>
            </w:r>
            <w:r>
              <w:rPr>
                <w:rFonts w:ascii="Arial" w:hAnsi="Arial" w:cs="Arial"/>
                <w:b/>
                <w:color w:val="222222"/>
                <w:sz w:val="24"/>
                <w:szCs w:val="24"/>
              </w:rPr>
              <w:t xml:space="preserve"> da cumplimiento</w:t>
            </w: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auto"/>
          </w:tcPr>
          <w:p w:rsidR="0040268B" w:rsidRPr="00CD731B" w:rsidRDefault="0040268B" w:rsidP="0040268B">
            <w:pPr>
              <w:numPr>
                <w:ilvl w:val="0"/>
                <w:numId w:val="1"/>
              </w:numPr>
              <w:spacing w:line="240" w:lineRule="auto"/>
              <w:contextualSpacing/>
              <w:jc w:val="both"/>
              <w:rPr>
                <w:rFonts w:ascii="Arial" w:hAnsi="Arial" w:cs="Arial"/>
                <w:b w:val="0"/>
                <w:color w:val="222222"/>
                <w:sz w:val="24"/>
                <w:szCs w:val="24"/>
              </w:rPr>
            </w:pPr>
            <w:r w:rsidRPr="00CD731B">
              <w:rPr>
                <w:rFonts w:ascii="Arial" w:hAnsi="Arial" w:cs="Arial"/>
                <w:b w:val="0"/>
                <w:color w:val="1B1C20"/>
                <w:sz w:val="24"/>
                <w:szCs w:val="24"/>
              </w:rPr>
              <w:t>La institución del control</w:t>
            </w:r>
          </w:p>
          <w:p w:rsidR="0040268B" w:rsidRPr="00CD731B" w:rsidRDefault="0040268B" w:rsidP="0040268B">
            <w:pPr>
              <w:spacing w:line="240" w:lineRule="auto"/>
              <w:ind w:left="360"/>
              <w:contextualSpacing/>
              <w:jc w:val="both"/>
              <w:rPr>
                <w:rFonts w:ascii="Arial" w:hAnsi="Arial" w:cs="Arial"/>
                <w:color w:val="1B1C20"/>
                <w:sz w:val="24"/>
                <w:szCs w:val="24"/>
              </w:rPr>
            </w:pPr>
          </w:p>
        </w:tc>
        <w:tc>
          <w:tcPr>
            <w:tcW w:w="4759" w:type="dxa"/>
            <w:tcBorders>
              <w:top w:val="nil"/>
            </w:tcBorders>
            <w:shd w:val="clear" w:color="auto" w:fill="auto"/>
          </w:tcPr>
          <w:p w:rsidR="0040268B" w:rsidRPr="00A41459" w:rsidRDefault="0040268B" w:rsidP="00711CA1">
            <w:pPr>
              <w:pStyle w:val="Prrafodelista"/>
              <w:numPr>
                <w:ilvl w:val="0"/>
                <w:numId w:val="10"/>
              </w:num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r w:rsidRPr="0040268B">
              <w:rPr>
                <w:rFonts w:ascii="Arial" w:hAnsi="Arial" w:cs="Arial"/>
                <w:bCs/>
                <w:color w:val="000000"/>
                <w:sz w:val="24"/>
                <w:szCs w:val="24"/>
              </w:rPr>
              <w:t>La existencia de un marco constitucional, reglamentario o legal apropiado y eficaz, así como de disposiciones para la aplicación de facto de dicho marco.</w:t>
            </w:r>
          </w:p>
        </w:tc>
        <w:tc>
          <w:tcPr>
            <w:tcW w:w="2045" w:type="dxa"/>
            <w:shd w:val="clear" w:color="auto" w:fill="00B0F0"/>
          </w:tcPr>
          <w:p w:rsidR="0040268B" w:rsidRPr="00BE127C" w:rsidRDefault="0040268B" w:rsidP="0040268B">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40268B" w:rsidRPr="00BE127C" w:rsidRDefault="0040268B" w:rsidP="0040268B">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CD731B" w:rsidRDefault="00711CA1" w:rsidP="00711CA1">
            <w:pPr>
              <w:numPr>
                <w:ilvl w:val="0"/>
                <w:numId w:val="1"/>
              </w:numPr>
              <w:spacing w:line="240" w:lineRule="auto"/>
              <w:contextualSpacing/>
              <w:jc w:val="both"/>
              <w:rPr>
                <w:rFonts w:ascii="Arial" w:hAnsi="Arial" w:cs="Arial"/>
                <w:color w:val="1B1C20"/>
                <w:sz w:val="24"/>
                <w:szCs w:val="24"/>
              </w:rPr>
            </w:pPr>
            <w:r w:rsidRPr="00CD731B">
              <w:rPr>
                <w:rFonts w:ascii="Arial" w:hAnsi="Arial" w:cs="Arial"/>
                <w:b w:val="0"/>
                <w:sz w:val="24"/>
                <w:szCs w:val="24"/>
              </w:rPr>
              <w:t>Control previo y control posterior</w:t>
            </w:r>
          </w:p>
        </w:tc>
        <w:tc>
          <w:tcPr>
            <w:tcW w:w="4759" w:type="dxa"/>
            <w:tcBorders>
              <w:top w:val="nil"/>
            </w:tcBorders>
            <w:shd w:val="clear" w:color="auto" w:fill="F2F2F2" w:themeFill="background1" w:themeFillShade="F2"/>
          </w:tcPr>
          <w:p w:rsidR="00711CA1" w:rsidRPr="00711CA1" w:rsidRDefault="00711CA1" w:rsidP="00711CA1">
            <w:pPr>
              <w:pStyle w:val="Prrafodelista"/>
              <w:numPr>
                <w:ilvl w:val="0"/>
                <w:numId w:val="14"/>
              </w:num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r w:rsidRPr="00A41459">
              <w:rPr>
                <w:rFonts w:ascii="Arial" w:hAnsi="Arial" w:cs="Arial"/>
                <w:bCs/>
                <w:color w:val="000000"/>
                <w:sz w:val="24"/>
                <w:szCs w:val="24"/>
              </w:rPr>
              <w:t>La independencia de la Autoridad Superior de la EFS, y de los “miembros” (para el caso de instituciones colegiadas), incluyendo la seguridad en el cargo y la inmunidad legal en el cumplimiento normal de sus obligaciones.</w:t>
            </w: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FF0000"/>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auto"/>
          </w:tcPr>
          <w:p w:rsidR="00711CA1" w:rsidRPr="00CD731B" w:rsidRDefault="00711CA1" w:rsidP="00711CA1">
            <w:pPr>
              <w:numPr>
                <w:ilvl w:val="0"/>
                <w:numId w:val="14"/>
              </w:numPr>
              <w:autoSpaceDE w:val="0"/>
              <w:autoSpaceDN w:val="0"/>
              <w:adjustRightInd w:val="0"/>
              <w:spacing w:line="240" w:lineRule="auto"/>
              <w:contextualSpacing/>
              <w:jc w:val="both"/>
              <w:rPr>
                <w:rFonts w:ascii="Arial" w:hAnsi="Arial" w:cs="Arial"/>
                <w:bCs w:val="0"/>
                <w:sz w:val="24"/>
                <w:szCs w:val="24"/>
              </w:rPr>
            </w:pPr>
            <w:r w:rsidRPr="00CD731B">
              <w:rPr>
                <w:rFonts w:ascii="Arial" w:hAnsi="Arial" w:cs="Arial"/>
                <w:b w:val="0"/>
                <w:color w:val="000000"/>
                <w:sz w:val="24"/>
                <w:szCs w:val="24"/>
              </w:rPr>
              <w:t>Control interno y externo</w:t>
            </w:r>
          </w:p>
        </w:tc>
        <w:tc>
          <w:tcPr>
            <w:tcW w:w="4759" w:type="dxa"/>
            <w:tcBorders>
              <w:top w:val="nil"/>
            </w:tcBorders>
            <w:shd w:val="clear" w:color="auto" w:fill="auto"/>
          </w:tcPr>
          <w:p w:rsidR="00711CA1" w:rsidRPr="00A41459" w:rsidRDefault="00711CA1" w:rsidP="00711CA1">
            <w:pPr>
              <w:pStyle w:val="Prrafodelista"/>
              <w:numPr>
                <w:ilvl w:val="0"/>
                <w:numId w:val="15"/>
              </w:num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r w:rsidRPr="00A41459">
              <w:rPr>
                <w:rFonts w:ascii="Arial" w:hAnsi="Arial" w:cs="Arial"/>
                <w:bCs/>
                <w:color w:val="000000"/>
                <w:sz w:val="24"/>
                <w:szCs w:val="24"/>
              </w:rPr>
              <w:t xml:space="preserve">Un mandato suficientemente amplio y facultades plenamente discrecionales </w:t>
            </w:r>
            <w:r w:rsidRPr="00A41459">
              <w:rPr>
                <w:rFonts w:ascii="Arial" w:hAnsi="Arial" w:cs="Arial"/>
                <w:bCs/>
                <w:color w:val="000000"/>
                <w:sz w:val="24"/>
                <w:szCs w:val="24"/>
              </w:rPr>
              <w:lastRenderedPageBreak/>
              <w:t>en el cumplimiento de las funciones de la EFS</w:t>
            </w:r>
            <w:r>
              <w:rPr>
                <w:rFonts w:ascii="Arial" w:hAnsi="Arial" w:cs="Arial"/>
                <w:bCs/>
                <w:color w:val="000000"/>
                <w:sz w:val="24"/>
                <w:szCs w:val="24"/>
              </w:rPr>
              <w:t>.</w:t>
            </w: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FF0000"/>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CD731B" w:rsidRDefault="00711CA1" w:rsidP="00711CA1">
            <w:pPr>
              <w:numPr>
                <w:ilvl w:val="0"/>
                <w:numId w:val="15"/>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Control formal y control de las realizaciones</w:t>
            </w:r>
          </w:p>
        </w:tc>
        <w:tc>
          <w:tcPr>
            <w:tcW w:w="4759" w:type="dxa"/>
            <w:tcBorders>
              <w:top w:val="nil"/>
            </w:tcBorders>
            <w:shd w:val="clear" w:color="auto" w:fill="F2F2F2" w:themeFill="background1" w:themeFillShade="F2"/>
          </w:tcPr>
          <w:p w:rsidR="00711CA1" w:rsidRPr="00A41459" w:rsidRDefault="00711CA1" w:rsidP="00711CA1">
            <w:pPr>
              <w:pStyle w:val="Prrafodelista"/>
              <w:numPr>
                <w:ilvl w:val="0"/>
                <w:numId w:val="16"/>
              </w:num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r w:rsidRPr="00A41459">
              <w:rPr>
                <w:rFonts w:ascii="Arial" w:hAnsi="Arial" w:cs="Arial"/>
                <w:bCs/>
                <w:color w:val="000000"/>
                <w:sz w:val="24"/>
                <w:szCs w:val="24"/>
              </w:rPr>
              <w:t>Acceso irrestricto a la información</w:t>
            </w:r>
            <w:r>
              <w:rPr>
                <w:rFonts w:ascii="Arial" w:hAnsi="Arial" w:cs="Arial"/>
                <w:bCs/>
                <w:color w:val="000000"/>
                <w:sz w:val="24"/>
                <w:szCs w:val="24"/>
              </w:rPr>
              <w:t>.</w:t>
            </w:r>
          </w:p>
        </w:tc>
        <w:tc>
          <w:tcPr>
            <w:tcW w:w="2045" w:type="dxa"/>
            <w:shd w:val="clear" w:color="auto" w:fill="00B0F0"/>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auto"/>
          </w:tcPr>
          <w:p w:rsidR="00711CA1" w:rsidRPr="00CD731B" w:rsidRDefault="00711CA1" w:rsidP="00711CA1">
            <w:pPr>
              <w:numPr>
                <w:ilvl w:val="0"/>
                <w:numId w:val="16"/>
              </w:numPr>
              <w:autoSpaceDE w:val="0"/>
              <w:autoSpaceDN w:val="0"/>
              <w:adjustRightInd w:val="0"/>
              <w:spacing w:line="240" w:lineRule="auto"/>
              <w:contextualSpacing/>
              <w:jc w:val="both"/>
              <w:rPr>
                <w:rFonts w:ascii="Arial" w:hAnsi="Arial" w:cs="Arial"/>
                <w:bCs w:val="0"/>
                <w:color w:val="000000"/>
                <w:sz w:val="24"/>
                <w:szCs w:val="24"/>
              </w:rPr>
            </w:pPr>
            <w:r w:rsidRPr="00CD731B">
              <w:rPr>
                <w:rFonts w:ascii="Arial" w:hAnsi="Arial" w:cs="Arial"/>
                <w:b w:val="0"/>
                <w:color w:val="000000"/>
                <w:sz w:val="24"/>
                <w:szCs w:val="24"/>
              </w:rPr>
              <w:t>Independencia de las Entidades Fiscalizadoras Superiores</w:t>
            </w:r>
          </w:p>
        </w:tc>
        <w:tc>
          <w:tcPr>
            <w:tcW w:w="4759" w:type="dxa"/>
            <w:tcBorders>
              <w:top w:val="nil"/>
            </w:tcBorders>
            <w:shd w:val="clear" w:color="auto" w:fill="auto"/>
          </w:tcPr>
          <w:p w:rsidR="00711CA1" w:rsidRPr="00A41459" w:rsidRDefault="00711CA1" w:rsidP="00711CA1">
            <w:pPr>
              <w:pStyle w:val="Prrafodelista"/>
              <w:numPr>
                <w:ilvl w:val="0"/>
                <w:numId w:val="17"/>
              </w:num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r w:rsidRPr="00A41459">
              <w:rPr>
                <w:rFonts w:ascii="Arial" w:hAnsi="Arial" w:cs="Arial"/>
                <w:bCs/>
                <w:color w:val="000000"/>
                <w:sz w:val="24"/>
                <w:szCs w:val="24"/>
              </w:rPr>
              <w:t>El derecho y la obligación de informar sobre su trabajo</w:t>
            </w:r>
            <w:r>
              <w:rPr>
                <w:rFonts w:ascii="Arial" w:hAnsi="Arial" w:cs="Arial"/>
                <w:bCs/>
                <w:color w:val="000000"/>
                <w:sz w:val="24"/>
                <w:szCs w:val="24"/>
              </w:rPr>
              <w:t>.</w:t>
            </w:r>
          </w:p>
        </w:tc>
        <w:tc>
          <w:tcPr>
            <w:tcW w:w="2045" w:type="dxa"/>
            <w:tcBorders>
              <w:bottom w:val="single" w:sz="4" w:space="0" w:color="auto"/>
            </w:tcBorders>
            <w:shd w:val="clear" w:color="auto" w:fill="00B0F0"/>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tcBorders>
              <w:bottom w:val="single" w:sz="4" w:space="0" w:color="auto"/>
            </w:tcBorders>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907C57" w:rsidRDefault="00711CA1" w:rsidP="00711CA1">
            <w:pPr>
              <w:numPr>
                <w:ilvl w:val="0"/>
                <w:numId w:val="17"/>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Independencia de los miembros y funcionarios de las Entidades Fiscalizadoras Superiores</w:t>
            </w:r>
          </w:p>
        </w:tc>
        <w:tc>
          <w:tcPr>
            <w:tcW w:w="4759" w:type="dxa"/>
            <w:tcBorders>
              <w:top w:val="nil"/>
              <w:right w:val="single" w:sz="4" w:space="0" w:color="auto"/>
            </w:tcBorders>
            <w:shd w:val="clear" w:color="auto" w:fill="F2F2F2" w:themeFill="background1" w:themeFillShade="F2"/>
          </w:tcPr>
          <w:p w:rsidR="00711CA1" w:rsidRPr="00A41459" w:rsidRDefault="00711CA1" w:rsidP="00711CA1">
            <w:pPr>
              <w:pStyle w:val="Prrafodelista"/>
              <w:numPr>
                <w:ilvl w:val="0"/>
                <w:numId w:val="18"/>
              </w:num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r w:rsidRPr="00A41459">
              <w:rPr>
                <w:rFonts w:ascii="Arial" w:hAnsi="Arial" w:cs="Arial"/>
                <w:bCs/>
                <w:color w:val="000000"/>
                <w:sz w:val="24"/>
                <w:szCs w:val="24"/>
              </w:rPr>
              <w:t>Libertad de decidir el contenido y la oportunidad (momento) de sus informes de auditoría, al igual que sobre su publicación y divulgación</w:t>
            </w:r>
            <w:r>
              <w:rPr>
                <w:rFonts w:ascii="Arial" w:hAnsi="Arial" w:cs="Arial"/>
                <w:bCs/>
                <w:color w:val="000000"/>
                <w:sz w:val="24"/>
                <w:szCs w:val="24"/>
              </w:rPr>
              <w:t>.</w:t>
            </w:r>
          </w:p>
        </w:tc>
        <w:tc>
          <w:tcPr>
            <w:tcW w:w="2045" w:type="dxa"/>
            <w:tcBorders>
              <w:top w:val="single" w:sz="4" w:space="0" w:color="auto"/>
              <w:left w:val="single" w:sz="4" w:space="0" w:color="auto"/>
              <w:bottom w:val="single" w:sz="4" w:space="0" w:color="auto"/>
              <w:right w:val="single" w:sz="4" w:space="0" w:color="auto"/>
            </w:tcBorders>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tcBorders>
              <w:top w:val="single" w:sz="4" w:space="0" w:color="auto"/>
              <w:left w:val="single" w:sz="4" w:space="0" w:color="auto"/>
              <w:bottom w:val="single" w:sz="4" w:space="0" w:color="auto"/>
              <w:right w:val="single" w:sz="4" w:space="0" w:color="auto"/>
            </w:tcBorders>
            <w:shd w:val="clear" w:color="auto" w:fill="FF0000"/>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Height w:val="892"/>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8F22E1" w:rsidRPr="00907C57" w:rsidRDefault="008F22E1" w:rsidP="00711CA1">
            <w:pPr>
              <w:numPr>
                <w:ilvl w:val="0"/>
                <w:numId w:val="18"/>
              </w:numPr>
              <w:autoSpaceDE w:val="0"/>
              <w:autoSpaceDN w:val="0"/>
              <w:adjustRightInd w:val="0"/>
              <w:spacing w:line="240" w:lineRule="auto"/>
              <w:contextualSpacing/>
              <w:jc w:val="both"/>
              <w:rPr>
                <w:rFonts w:ascii="Arial" w:hAnsi="Arial" w:cs="Arial"/>
                <w:b w:val="0"/>
                <w:color w:val="000000"/>
                <w:sz w:val="24"/>
                <w:szCs w:val="24"/>
              </w:rPr>
            </w:pPr>
            <w:r w:rsidRPr="00CD731B">
              <w:rPr>
                <w:rFonts w:ascii="Arial" w:hAnsi="Arial" w:cs="Arial"/>
                <w:b w:val="0"/>
                <w:color w:val="000000"/>
                <w:sz w:val="24"/>
                <w:szCs w:val="24"/>
              </w:rPr>
              <w:t>Independencia financiera de las Entidades Fiscalizadoras Superiores</w:t>
            </w:r>
          </w:p>
        </w:tc>
        <w:tc>
          <w:tcPr>
            <w:tcW w:w="4759" w:type="dxa"/>
            <w:tcBorders>
              <w:top w:val="nil"/>
              <w:right w:val="single" w:sz="4" w:space="0" w:color="auto"/>
            </w:tcBorders>
            <w:shd w:val="clear" w:color="auto" w:fill="FFFFFF" w:themeFill="background1"/>
          </w:tcPr>
          <w:p w:rsidR="008F22E1" w:rsidRPr="00A41459" w:rsidRDefault="008F22E1" w:rsidP="00711CA1">
            <w:pPr>
              <w:pStyle w:val="Prrafodelista"/>
              <w:numPr>
                <w:ilvl w:val="0"/>
                <w:numId w:val="19"/>
              </w:numPr>
              <w:autoSpaceDE w:val="0"/>
              <w:autoSpaceDN w:val="0"/>
              <w:adjustRightInd w:val="0"/>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r>
              <w:rPr>
                <w:rFonts w:ascii="Arial" w:hAnsi="Arial" w:cs="Arial"/>
                <w:bCs/>
                <w:color w:val="000000"/>
                <w:sz w:val="24"/>
                <w:szCs w:val="24"/>
              </w:rPr>
              <w:t>La existencia de mecanismos efi</w:t>
            </w:r>
            <w:r w:rsidRPr="00A41459">
              <w:rPr>
                <w:rFonts w:ascii="Arial" w:hAnsi="Arial" w:cs="Arial"/>
                <w:bCs/>
                <w:color w:val="000000"/>
                <w:sz w:val="24"/>
                <w:szCs w:val="24"/>
              </w:rPr>
              <w:t>caces de seguimiento de las recomendaciones de la EFS</w:t>
            </w:r>
            <w:r>
              <w:rPr>
                <w:rFonts w:ascii="Arial" w:hAnsi="Arial" w:cs="Arial"/>
                <w:bCs/>
                <w:color w:val="000000"/>
                <w:sz w:val="24"/>
                <w:szCs w:val="24"/>
              </w:rPr>
              <w:t>.</w:t>
            </w:r>
          </w:p>
        </w:tc>
        <w:tc>
          <w:tcPr>
            <w:tcW w:w="3887" w:type="dxa"/>
            <w:gridSpan w:val="2"/>
            <w:tcBorders>
              <w:top w:val="single" w:sz="4" w:space="0" w:color="auto"/>
              <w:left w:val="single" w:sz="4" w:space="0" w:color="auto"/>
              <w:bottom w:val="single" w:sz="4" w:space="0" w:color="auto"/>
              <w:right w:val="single" w:sz="4" w:space="0" w:color="auto"/>
            </w:tcBorders>
            <w:shd w:val="clear" w:color="auto" w:fill="auto"/>
          </w:tcPr>
          <w:tbl>
            <w:tblPr>
              <w:tblStyle w:val="Tablaconcuadrcula"/>
              <w:tblpPr w:leftFromText="141" w:rightFromText="141" w:vertAnchor="text" w:horzAnchor="margin" w:tblpX="694" w:tblpY="-128"/>
              <w:tblOverlap w:val="never"/>
              <w:tblW w:w="0" w:type="auto"/>
              <w:tblInd w:w="0" w:type="dxa"/>
              <w:tblLook w:val="04A0" w:firstRow="1" w:lastRow="0" w:firstColumn="1" w:lastColumn="0" w:noHBand="0" w:noVBand="1"/>
            </w:tblPr>
            <w:tblGrid>
              <w:gridCol w:w="1276"/>
              <w:gridCol w:w="1134"/>
            </w:tblGrid>
            <w:tr w:rsidR="002F7CE6" w:rsidTr="002F7CE6">
              <w:trPr>
                <w:trHeight w:val="303"/>
              </w:trPr>
              <w:tc>
                <w:tcPr>
                  <w:tcW w:w="1276" w:type="dxa"/>
                  <w:tcBorders>
                    <w:top w:val="nil"/>
                    <w:left w:val="nil"/>
                    <w:bottom w:val="nil"/>
                    <w:right w:val="nil"/>
                  </w:tcBorders>
                  <w:shd w:val="clear" w:color="auto" w:fill="00B0F0"/>
                </w:tcPr>
                <w:p w:rsidR="008F22E1" w:rsidRPr="008F22E1" w:rsidRDefault="008F22E1" w:rsidP="008F22E1">
                  <w:pPr>
                    <w:spacing w:line="240" w:lineRule="auto"/>
                    <w:jc w:val="center"/>
                    <w:rPr>
                      <w:rFonts w:ascii="Arial" w:hAnsi="Arial" w:cs="Arial"/>
                      <w:b/>
                      <w:color w:val="222222"/>
                      <w:sz w:val="16"/>
                      <w:szCs w:val="16"/>
                    </w:rPr>
                  </w:pPr>
                </w:p>
              </w:tc>
              <w:tc>
                <w:tcPr>
                  <w:tcW w:w="1134" w:type="dxa"/>
                  <w:tcBorders>
                    <w:top w:val="nil"/>
                    <w:left w:val="nil"/>
                    <w:bottom w:val="nil"/>
                    <w:right w:val="nil"/>
                  </w:tcBorders>
                  <w:shd w:val="clear" w:color="auto" w:fill="FF0000"/>
                </w:tcPr>
                <w:p w:rsidR="008F22E1" w:rsidRDefault="008F22E1"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Pr="008F22E1" w:rsidRDefault="008536F8" w:rsidP="008F22E1">
                  <w:pPr>
                    <w:spacing w:line="240" w:lineRule="auto"/>
                    <w:jc w:val="center"/>
                    <w:rPr>
                      <w:rFonts w:ascii="Arial" w:hAnsi="Arial" w:cs="Arial"/>
                      <w:b/>
                      <w:color w:val="222222"/>
                      <w:sz w:val="16"/>
                      <w:szCs w:val="16"/>
                    </w:rPr>
                  </w:pPr>
                </w:p>
              </w:tc>
            </w:tr>
          </w:tbl>
          <w:p w:rsidR="008F22E1" w:rsidRPr="00BE127C" w:rsidRDefault="008F22E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8F22E1" w:rsidRPr="00CD731B" w:rsidRDefault="008F22E1"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Relación con el Parlamento</w:t>
            </w:r>
          </w:p>
        </w:tc>
        <w:tc>
          <w:tcPr>
            <w:tcW w:w="4759" w:type="dxa"/>
            <w:tcBorders>
              <w:top w:val="nil"/>
              <w:right w:val="single" w:sz="4" w:space="0" w:color="auto"/>
            </w:tcBorders>
            <w:shd w:val="clear" w:color="auto" w:fill="F2F2F2" w:themeFill="background1" w:themeFillShade="F2"/>
          </w:tcPr>
          <w:p w:rsidR="008F22E1" w:rsidRPr="00A41459" w:rsidRDefault="008F22E1" w:rsidP="00711CA1">
            <w:pPr>
              <w:pStyle w:val="Prrafodelista"/>
              <w:numPr>
                <w:ilvl w:val="0"/>
                <w:numId w:val="20"/>
              </w:numPr>
              <w:autoSpaceDE w:val="0"/>
              <w:autoSpaceDN w:val="0"/>
              <w:adjustRightInd w:val="0"/>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r w:rsidRPr="00A41459">
              <w:rPr>
                <w:rFonts w:ascii="Arial" w:hAnsi="Arial" w:cs="Arial"/>
                <w:bCs/>
                <w:color w:val="000000"/>
                <w:sz w:val="24"/>
                <w:szCs w:val="24"/>
              </w:rPr>
              <w:t>Autonomía financiera y gerencial/administrativa, al igual que disponibilidad de recursos humanos, materiales y económicos apropiados</w:t>
            </w:r>
            <w:r>
              <w:rPr>
                <w:rFonts w:ascii="Arial" w:hAnsi="Arial" w:cs="Arial"/>
                <w:bCs/>
                <w:color w:val="000000"/>
                <w:sz w:val="24"/>
                <w:szCs w:val="24"/>
              </w:rPr>
              <w:t>.</w:t>
            </w:r>
          </w:p>
        </w:tc>
        <w:tc>
          <w:tcPr>
            <w:tcW w:w="3887" w:type="dxa"/>
            <w:gridSpan w:val="2"/>
            <w:tcBorders>
              <w:top w:val="single" w:sz="4" w:space="0" w:color="auto"/>
              <w:left w:val="single" w:sz="4" w:space="0" w:color="auto"/>
              <w:bottom w:val="single" w:sz="4" w:space="0" w:color="auto"/>
              <w:right w:val="single" w:sz="4" w:space="0" w:color="auto"/>
            </w:tcBorders>
            <w:shd w:val="clear" w:color="auto" w:fill="auto"/>
          </w:tcPr>
          <w:tbl>
            <w:tblPr>
              <w:tblStyle w:val="Tablaconcuadrcula"/>
              <w:tblpPr w:leftFromText="141" w:rightFromText="141" w:vertAnchor="text" w:horzAnchor="margin" w:tblpX="694" w:tblpY="-128"/>
              <w:tblOverlap w:val="nev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1134"/>
            </w:tblGrid>
            <w:tr w:rsidR="002F7CE6" w:rsidTr="002F7CE6">
              <w:trPr>
                <w:trHeight w:val="417"/>
              </w:trPr>
              <w:tc>
                <w:tcPr>
                  <w:tcW w:w="1271" w:type="dxa"/>
                  <w:shd w:val="clear" w:color="auto" w:fill="00B0F0"/>
                </w:tcPr>
                <w:p w:rsidR="008F22E1" w:rsidRPr="008F22E1" w:rsidRDefault="008F22E1" w:rsidP="008F22E1">
                  <w:pPr>
                    <w:spacing w:line="240" w:lineRule="auto"/>
                    <w:jc w:val="center"/>
                    <w:rPr>
                      <w:rFonts w:ascii="Arial" w:hAnsi="Arial" w:cs="Arial"/>
                      <w:b/>
                      <w:color w:val="222222"/>
                      <w:sz w:val="16"/>
                      <w:szCs w:val="16"/>
                    </w:rPr>
                  </w:pPr>
                </w:p>
              </w:tc>
              <w:tc>
                <w:tcPr>
                  <w:tcW w:w="1134" w:type="dxa"/>
                  <w:shd w:val="clear" w:color="auto" w:fill="FF0000"/>
                </w:tcPr>
                <w:p w:rsidR="008F22E1" w:rsidRDefault="008F22E1"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Default="008536F8" w:rsidP="008F22E1">
                  <w:pPr>
                    <w:spacing w:line="240" w:lineRule="auto"/>
                    <w:jc w:val="center"/>
                    <w:rPr>
                      <w:rFonts w:ascii="Arial" w:hAnsi="Arial" w:cs="Arial"/>
                      <w:b/>
                      <w:color w:val="222222"/>
                      <w:sz w:val="16"/>
                      <w:szCs w:val="16"/>
                    </w:rPr>
                  </w:pPr>
                </w:p>
                <w:p w:rsidR="008536F8" w:rsidRPr="008F22E1" w:rsidRDefault="008536F8" w:rsidP="008F22E1">
                  <w:pPr>
                    <w:spacing w:line="240" w:lineRule="auto"/>
                    <w:jc w:val="center"/>
                    <w:rPr>
                      <w:rFonts w:ascii="Arial" w:hAnsi="Arial" w:cs="Arial"/>
                      <w:b/>
                      <w:color w:val="222222"/>
                      <w:sz w:val="16"/>
                      <w:szCs w:val="16"/>
                    </w:rPr>
                  </w:pPr>
                </w:p>
              </w:tc>
            </w:tr>
          </w:tbl>
          <w:p w:rsidR="008F22E1" w:rsidRPr="00BE127C" w:rsidRDefault="008F22E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CD731B" w:rsidRDefault="00CD731B" w:rsidP="00711CA1">
            <w:pPr>
              <w:numPr>
                <w:ilvl w:val="0"/>
                <w:numId w:val="19"/>
              </w:numPr>
              <w:autoSpaceDE w:val="0"/>
              <w:autoSpaceDN w:val="0"/>
              <w:adjustRightInd w:val="0"/>
              <w:spacing w:line="240" w:lineRule="auto"/>
              <w:contextualSpacing/>
              <w:jc w:val="both"/>
              <w:rPr>
                <w:rFonts w:ascii="Arial" w:hAnsi="Arial" w:cs="Arial"/>
                <w:color w:val="1B1C20"/>
                <w:sz w:val="24"/>
                <w:szCs w:val="24"/>
              </w:rPr>
            </w:pPr>
            <w:r w:rsidRPr="00CD731B">
              <w:rPr>
                <w:rFonts w:ascii="Arial" w:hAnsi="Arial" w:cs="Arial"/>
                <w:b w:val="0"/>
                <w:color w:val="000000"/>
                <w:sz w:val="24"/>
                <w:szCs w:val="24"/>
              </w:rPr>
              <w:t>Relación con el Gobierno y la Administración</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tcBorders>
              <w:top w:val="single" w:sz="4" w:space="0" w:color="auto"/>
            </w:tcBorders>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tcBorders>
              <w:top w:val="single" w:sz="4" w:space="0" w:color="auto"/>
            </w:tcBorders>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907C57" w:rsidRDefault="00711CA1" w:rsidP="00711CA1">
            <w:pPr>
              <w:numPr>
                <w:ilvl w:val="0"/>
                <w:numId w:val="19"/>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Ejecución de las verifi</w:t>
            </w:r>
            <w:r w:rsidR="00CD731B" w:rsidRPr="00CD731B">
              <w:rPr>
                <w:rFonts w:ascii="Arial" w:hAnsi="Arial" w:cs="Arial"/>
                <w:b w:val="0"/>
                <w:color w:val="000000"/>
                <w:sz w:val="24"/>
                <w:szCs w:val="24"/>
              </w:rPr>
              <w:t>caciones de control de las Entidades</w:t>
            </w:r>
            <w:r w:rsidRPr="00CD731B">
              <w:rPr>
                <w:rFonts w:ascii="Arial" w:hAnsi="Arial" w:cs="Arial"/>
                <w:b w:val="0"/>
                <w:color w:val="000000"/>
                <w:sz w:val="24"/>
                <w:szCs w:val="24"/>
              </w:rPr>
              <w:t xml:space="preserve"> Fiscalizadoras Superiores</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CD731B" w:rsidRDefault="00CD731B" w:rsidP="00711CA1">
            <w:pPr>
              <w:numPr>
                <w:ilvl w:val="0"/>
                <w:numId w:val="19"/>
              </w:numPr>
              <w:autoSpaceDE w:val="0"/>
              <w:autoSpaceDN w:val="0"/>
              <w:adjustRightInd w:val="0"/>
              <w:spacing w:line="240" w:lineRule="auto"/>
              <w:contextualSpacing/>
              <w:jc w:val="both"/>
              <w:rPr>
                <w:rFonts w:ascii="Arial" w:hAnsi="Arial" w:cs="Arial"/>
                <w:color w:val="1B1C20"/>
                <w:sz w:val="24"/>
                <w:szCs w:val="24"/>
              </w:rPr>
            </w:pPr>
            <w:r w:rsidRPr="00CD731B">
              <w:rPr>
                <w:rFonts w:ascii="Arial" w:hAnsi="Arial" w:cs="Arial"/>
                <w:b w:val="0"/>
                <w:color w:val="000000"/>
                <w:sz w:val="24"/>
                <w:szCs w:val="24"/>
              </w:rPr>
              <w:t>Facultad de investigación</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bookmarkStart w:id="0" w:name="_GoBack"/>
        <w:bookmarkEnd w:id="0"/>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CD731B" w:rsidRDefault="00CD731B"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Actividad pericial y otras formas de cooperación</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CD731B" w:rsidRDefault="00CD731B"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Métodos de control y procedimientos</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CD731B" w:rsidRDefault="00CD731B"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Personal de control</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CD731B" w:rsidRDefault="00CD731B"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Intercambio internacional de experiencias</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CD731B" w:rsidRDefault="00CD731B"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t>Rendición de informes al Parlamento y al público</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907C57" w:rsidRDefault="00CD731B" w:rsidP="00711CA1">
            <w:pPr>
              <w:numPr>
                <w:ilvl w:val="0"/>
                <w:numId w:val="19"/>
              </w:numPr>
              <w:autoSpaceDE w:val="0"/>
              <w:autoSpaceDN w:val="0"/>
              <w:adjustRightInd w:val="0"/>
              <w:spacing w:line="240" w:lineRule="auto"/>
              <w:contextualSpacing/>
              <w:rPr>
                <w:rFonts w:ascii="Arial" w:hAnsi="Arial" w:cs="Arial"/>
                <w:color w:val="1B1C20"/>
                <w:sz w:val="24"/>
                <w:szCs w:val="24"/>
              </w:rPr>
            </w:pPr>
            <w:r w:rsidRPr="00CD731B">
              <w:rPr>
                <w:rFonts w:ascii="Arial" w:hAnsi="Arial" w:cs="Arial"/>
                <w:b w:val="0"/>
                <w:color w:val="000000"/>
                <w:sz w:val="24"/>
                <w:szCs w:val="24"/>
              </w:rPr>
              <w:lastRenderedPageBreak/>
              <w:t>Redacción de los informes</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907C57"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907C57" w:rsidRDefault="00711CA1" w:rsidP="00711CA1">
            <w:pPr>
              <w:pStyle w:val="Prrafodelista"/>
              <w:numPr>
                <w:ilvl w:val="0"/>
                <w:numId w:val="12"/>
              </w:numPr>
              <w:autoSpaceDE w:val="0"/>
              <w:autoSpaceDN w:val="0"/>
              <w:adjustRightInd w:val="0"/>
              <w:spacing w:line="240" w:lineRule="auto"/>
              <w:rPr>
                <w:rFonts w:ascii="Arial" w:hAnsi="Arial" w:cs="Arial"/>
                <w:b w:val="0"/>
                <w:color w:val="1B1C20"/>
                <w:sz w:val="24"/>
                <w:szCs w:val="24"/>
              </w:rPr>
            </w:pPr>
            <w:r w:rsidRPr="00907C57">
              <w:rPr>
                <w:rFonts w:ascii="Arial" w:hAnsi="Arial" w:cs="Arial"/>
                <w:b w:val="0"/>
                <w:color w:val="000000"/>
                <w:sz w:val="24"/>
                <w:szCs w:val="24"/>
              </w:rPr>
              <w:t>Base constitucional de las competencias de control; control de las operaciones estatales</w:t>
            </w:r>
          </w:p>
        </w:tc>
        <w:tc>
          <w:tcPr>
            <w:tcW w:w="4759" w:type="dxa"/>
            <w:tcBorders>
              <w:top w:val="nil"/>
            </w:tcBorders>
            <w:shd w:val="clear" w:color="auto" w:fill="F2F2F2" w:themeFill="background1" w:themeFillShade="F2"/>
          </w:tcPr>
          <w:p w:rsidR="00711CA1" w:rsidRPr="00907C57"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907C57"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p>
        </w:tc>
        <w:tc>
          <w:tcPr>
            <w:tcW w:w="1842" w:type="dxa"/>
            <w:shd w:val="clear" w:color="auto" w:fill="auto"/>
          </w:tcPr>
          <w:p w:rsidR="00711CA1" w:rsidRPr="00907C57"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907C57" w:rsidRDefault="00CD731B" w:rsidP="00711CA1">
            <w:pPr>
              <w:numPr>
                <w:ilvl w:val="0"/>
                <w:numId w:val="13"/>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Control de las autoridades e instituciones en el extranjero</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CD731B" w:rsidRDefault="00CD731B" w:rsidP="00711CA1">
            <w:pPr>
              <w:numPr>
                <w:ilvl w:val="0"/>
                <w:numId w:val="13"/>
              </w:numPr>
              <w:autoSpaceDE w:val="0"/>
              <w:autoSpaceDN w:val="0"/>
              <w:adjustRightInd w:val="0"/>
              <w:spacing w:line="240" w:lineRule="auto"/>
              <w:contextualSpacing/>
              <w:rPr>
                <w:rFonts w:ascii="Arial" w:hAnsi="Arial" w:cs="Arial"/>
                <w:bCs w:val="0"/>
                <w:color w:val="000000"/>
                <w:sz w:val="24"/>
                <w:szCs w:val="24"/>
              </w:rPr>
            </w:pPr>
            <w:r w:rsidRPr="00CD731B">
              <w:rPr>
                <w:rFonts w:ascii="Arial" w:hAnsi="Arial" w:cs="Arial"/>
                <w:b w:val="0"/>
                <w:color w:val="000000"/>
                <w:sz w:val="24"/>
                <w:szCs w:val="24"/>
              </w:rPr>
              <w:t>Control de los ingresos fiscales</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907C57" w:rsidRDefault="00CD731B" w:rsidP="00711CA1">
            <w:pPr>
              <w:numPr>
                <w:ilvl w:val="0"/>
                <w:numId w:val="13"/>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Contratos públicos y</w:t>
            </w:r>
            <w:r w:rsidR="00711CA1">
              <w:rPr>
                <w:rFonts w:ascii="Arial" w:hAnsi="Arial" w:cs="Arial"/>
                <w:b w:val="0"/>
                <w:color w:val="000000"/>
                <w:sz w:val="24"/>
                <w:szCs w:val="24"/>
              </w:rPr>
              <w:t xml:space="preserve"> </w:t>
            </w:r>
            <w:r w:rsidRPr="00CD731B">
              <w:rPr>
                <w:rFonts w:ascii="Arial" w:hAnsi="Arial" w:cs="Arial"/>
                <w:b w:val="0"/>
                <w:color w:val="000000"/>
                <w:sz w:val="24"/>
                <w:szCs w:val="24"/>
              </w:rPr>
              <w:t>obras públicas</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907C57" w:rsidRDefault="00CD731B" w:rsidP="00711CA1">
            <w:pPr>
              <w:numPr>
                <w:ilvl w:val="0"/>
                <w:numId w:val="13"/>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Control de las instalaciones de elaboración electrónica de datos</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907C57" w:rsidRDefault="00CD731B" w:rsidP="00711CA1">
            <w:pPr>
              <w:numPr>
                <w:ilvl w:val="0"/>
                <w:numId w:val="13"/>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Empresas económicas con participación del Estado</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8F22E1" w:rsidRPr="00BE127C" w:rsidTr="002F7CE6">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2F2F2" w:themeFill="background1" w:themeFillShade="F2"/>
          </w:tcPr>
          <w:p w:rsidR="00711CA1" w:rsidRPr="00907C57" w:rsidRDefault="00CD731B" w:rsidP="00711CA1">
            <w:pPr>
              <w:numPr>
                <w:ilvl w:val="0"/>
                <w:numId w:val="13"/>
              </w:numPr>
              <w:autoSpaceDE w:val="0"/>
              <w:autoSpaceDN w:val="0"/>
              <w:adjustRightInd w:val="0"/>
              <w:spacing w:line="240" w:lineRule="auto"/>
              <w:contextualSpacing/>
              <w:rPr>
                <w:rFonts w:ascii="Arial" w:hAnsi="Arial" w:cs="Arial"/>
                <w:b w:val="0"/>
                <w:color w:val="000000"/>
                <w:sz w:val="24"/>
                <w:szCs w:val="24"/>
              </w:rPr>
            </w:pPr>
            <w:r w:rsidRPr="00CD731B">
              <w:rPr>
                <w:rFonts w:ascii="Arial" w:hAnsi="Arial" w:cs="Arial"/>
                <w:b w:val="0"/>
                <w:color w:val="000000"/>
                <w:sz w:val="24"/>
                <w:szCs w:val="24"/>
              </w:rPr>
              <w:t>Control de instituciones subvencionadas</w:t>
            </w:r>
          </w:p>
        </w:tc>
        <w:tc>
          <w:tcPr>
            <w:tcW w:w="4759" w:type="dxa"/>
            <w:tcBorders>
              <w:top w:val="nil"/>
            </w:tcBorders>
            <w:shd w:val="clear" w:color="auto" w:fill="F2F2F2" w:themeFill="background1" w:themeFillShade="F2"/>
          </w:tcPr>
          <w:p w:rsidR="00711CA1" w:rsidRPr="00A41459" w:rsidRDefault="00711CA1" w:rsidP="00711CA1">
            <w:pPr>
              <w:pStyle w:val="Prrafodelista"/>
              <w:autoSpaceDE w:val="0"/>
              <w:autoSpaceDN w:val="0"/>
              <w:adjustRightInd w:val="0"/>
              <w:spacing w:line="240" w:lineRule="auto"/>
              <w:ind w:left="360"/>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4"/>
                <w:szCs w:val="24"/>
              </w:rPr>
            </w:pPr>
          </w:p>
        </w:tc>
      </w:tr>
      <w:tr w:rsidR="008F22E1" w:rsidRPr="00BE127C"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Borders>
              <w:top w:val="nil"/>
            </w:tcBorders>
            <w:shd w:val="clear" w:color="auto" w:fill="FFFFFF" w:themeFill="background1"/>
          </w:tcPr>
          <w:p w:rsidR="00711CA1" w:rsidRPr="00CD731B" w:rsidRDefault="00CD731B" w:rsidP="00711CA1">
            <w:pPr>
              <w:numPr>
                <w:ilvl w:val="0"/>
                <w:numId w:val="13"/>
              </w:numPr>
              <w:autoSpaceDE w:val="0"/>
              <w:autoSpaceDN w:val="0"/>
              <w:adjustRightInd w:val="0"/>
              <w:spacing w:line="240" w:lineRule="auto"/>
              <w:contextualSpacing/>
              <w:rPr>
                <w:rFonts w:ascii="Arial" w:hAnsi="Arial" w:cs="Arial"/>
                <w:bCs w:val="0"/>
                <w:color w:val="000000"/>
                <w:sz w:val="24"/>
                <w:szCs w:val="24"/>
              </w:rPr>
            </w:pPr>
            <w:r w:rsidRPr="00CD731B">
              <w:rPr>
                <w:rFonts w:ascii="Arial" w:hAnsi="Arial" w:cs="Arial"/>
                <w:b w:val="0"/>
                <w:color w:val="000000"/>
                <w:sz w:val="24"/>
                <w:szCs w:val="24"/>
              </w:rPr>
              <w:t>Control de Organismos Internacionales y Supranacionales</w:t>
            </w:r>
          </w:p>
        </w:tc>
        <w:tc>
          <w:tcPr>
            <w:tcW w:w="4759" w:type="dxa"/>
            <w:tcBorders>
              <w:top w:val="nil"/>
            </w:tcBorders>
            <w:shd w:val="clear" w:color="auto" w:fill="FFFFFF" w:themeFill="background1"/>
          </w:tcPr>
          <w:p w:rsidR="00711CA1" w:rsidRPr="00A41459" w:rsidRDefault="00711CA1" w:rsidP="00711CA1">
            <w:pPr>
              <w:pStyle w:val="Prrafodelista"/>
              <w:autoSpaceDE w:val="0"/>
              <w:autoSpaceDN w:val="0"/>
              <w:adjustRightInd w:val="0"/>
              <w:spacing w:line="24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sz w:val="24"/>
                <w:szCs w:val="24"/>
              </w:rPr>
            </w:pPr>
          </w:p>
        </w:tc>
        <w:tc>
          <w:tcPr>
            <w:tcW w:w="2045"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c>
          <w:tcPr>
            <w:tcW w:w="1842" w:type="dxa"/>
            <w:shd w:val="clear" w:color="auto" w:fill="auto"/>
          </w:tcPr>
          <w:p w:rsidR="00711CA1" w:rsidRPr="00BE127C" w:rsidRDefault="00711CA1" w:rsidP="00711CA1">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222222"/>
                <w:sz w:val="24"/>
                <w:szCs w:val="24"/>
              </w:rPr>
            </w:pPr>
          </w:p>
        </w:tc>
      </w:tr>
      <w:tr w:rsidR="00711CA1" w:rsidRPr="000E3BE6" w:rsidTr="002F7CE6">
        <w:tc>
          <w:tcPr>
            <w:cnfStyle w:val="001000000000" w:firstRow="0" w:lastRow="0" w:firstColumn="1" w:lastColumn="0" w:oddVBand="0" w:evenVBand="0" w:oddHBand="0" w:evenHBand="0" w:firstRowFirstColumn="0" w:firstRowLastColumn="0" w:lastRowFirstColumn="0" w:lastRowLastColumn="0"/>
            <w:tcW w:w="13603" w:type="dxa"/>
            <w:gridSpan w:val="4"/>
            <w:shd w:val="clear" w:color="auto" w:fill="F2F2F2" w:themeFill="background1" w:themeFillShade="F2"/>
            <w:hideMark/>
          </w:tcPr>
          <w:p w:rsidR="00711CA1" w:rsidRPr="00432B34" w:rsidRDefault="00711CA1" w:rsidP="00631D10">
            <w:pPr>
              <w:spacing w:line="360" w:lineRule="auto"/>
              <w:jc w:val="both"/>
              <w:rPr>
                <w:rStyle w:val="nfasissutil"/>
                <w:rFonts w:ascii="Arial" w:hAnsi="Arial" w:cs="Arial"/>
                <w:i w:val="0"/>
                <w:sz w:val="24"/>
                <w:szCs w:val="24"/>
              </w:rPr>
            </w:pPr>
            <w:r w:rsidRPr="00432B34">
              <w:rPr>
                <w:rStyle w:val="nfasissutil"/>
                <w:rFonts w:ascii="Arial" w:hAnsi="Arial" w:cs="Arial"/>
                <w:i w:val="0"/>
                <w:sz w:val="24"/>
                <w:szCs w:val="24"/>
              </w:rPr>
              <w:t xml:space="preserve">REFLEXIONES </w:t>
            </w:r>
          </w:p>
          <w:p w:rsidR="000E3BE6" w:rsidRPr="000E3BE6" w:rsidRDefault="000E3BE6" w:rsidP="00843550">
            <w:pPr>
              <w:spacing w:line="360" w:lineRule="auto"/>
              <w:jc w:val="both"/>
              <w:rPr>
                <w:rStyle w:val="nfasissutil"/>
                <w:rFonts w:ascii="Arial" w:hAnsi="Arial" w:cs="Arial"/>
                <w:b w:val="0"/>
                <w:i w:val="0"/>
                <w:sz w:val="24"/>
                <w:szCs w:val="24"/>
              </w:rPr>
            </w:pPr>
            <w:r w:rsidRPr="000E3BE6">
              <w:rPr>
                <w:rStyle w:val="nfasissutil"/>
                <w:rFonts w:ascii="Arial" w:hAnsi="Arial" w:cs="Arial"/>
                <w:b w:val="0"/>
                <w:i w:val="0"/>
                <w:sz w:val="24"/>
                <w:szCs w:val="24"/>
              </w:rPr>
              <w:t>Si bien cierto para concretar políticas publicas objetivas, solidas se requiere de la construcción de ideas, basadas y derivadas a los resultados sobre las condiciones de vida de una población, también es cierto que para definir estos se requiere del análisis de un problema, que en caso en estudio lo es la corrupción, pobreza, transparencia, igualdad, injusticia etc. De ahí que</w:t>
            </w:r>
            <w:r>
              <w:rPr>
                <w:rStyle w:val="nfasissutil"/>
                <w:rFonts w:ascii="Arial" w:hAnsi="Arial" w:cs="Arial"/>
                <w:b w:val="0"/>
                <w:i w:val="0"/>
                <w:sz w:val="24"/>
                <w:szCs w:val="24"/>
              </w:rPr>
              <w:t>,</w:t>
            </w:r>
            <w:r w:rsidRPr="000E3BE6">
              <w:rPr>
                <w:rStyle w:val="nfasissutil"/>
                <w:rFonts w:ascii="Arial" w:hAnsi="Arial" w:cs="Arial"/>
                <w:b w:val="0"/>
                <w:i w:val="0"/>
                <w:sz w:val="24"/>
                <w:szCs w:val="24"/>
              </w:rPr>
              <w:t xml:space="preserve"> en busca de soluciones la participación social, paneles de discusión, </w:t>
            </w:r>
            <w:r>
              <w:rPr>
                <w:rStyle w:val="nfasissutil"/>
                <w:rFonts w:ascii="Arial" w:hAnsi="Arial" w:cs="Arial"/>
                <w:b w:val="0"/>
                <w:i w:val="0"/>
                <w:sz w:val="24"/>
                <w:szCs w:val="24"/>
              </w:rPr>
              <w:t xml:space="preserve">foros, congresos, </w:t>
            </w:r>
            <w:r w:rsidRPr="000E3BE6">
              <w:rPr>
                <w:rStyle w:val="nfasissutil"/>
                <w:rFonts w:ascii="Arial" w:hAnsi="Arial" w:cs="Arial"/>
                <w:b w:val="0"/>
                <w:i w:val="0"/>
                <w:sz w:val="24"/>
                <w:szCs w:val="24"/>
              </w:rPr>
              <w:t>mesas sectoriales, paneles de discusión con especialistas,</w:t>
            </w:r>
            <w:r>
              <w:rPr>
                <w:rStyle w:val="nfasissutil"/>
                <w:rFonts w:ascii="Arial" w:hAnsi="Arial" w:cs="Arial"/>
                <w:b w:val="0"/>
                <w:i w:val="0"/>
                <w:sz w:val="24"/>
                <w:szCs w:val="24"/>
              </w:rPr>
              <w:t xml:space="preserve"> como el efectuado por </w:t>
            </w:r>
            <w:r w:rsidRPr="002B702E">
              <w:rPr>
                <w:rFonts w:ascii="Arial" w:hAnsi="Arial" w:cs="Arial"/>
                <w:b w:val="0"/>
                <w:color w:val="1B1C20"/>
                <w:sz w:val="24"/>
                <w:szCs w:val="24"/>
              </w:rPr>
              <w:t>Organización Internacional de Entidades Fiscalizadoras Superiores</w:t>
            </w:r>
            <w:r>
              <w:rPr>
                <w:rFonts w:ascii="Arial" w:hAnsi="Arial" w:cs="Arial"/>
                <w:b w:val="0"/>
                <w:color w:val="1B1C20"/>
                <w:sz w:val="24"/>
                <w:szCs w:val="24"/>
              </w:rPr>
              <w:t xml:space="preserve">, </w:t>
            </w:r>
            <w:r w:rsidR="00AC3728">
              <w:rPr>
                <w:rFonts w:ascii="Arial" w:hAnsi="Arial" w:cs="Arial"/>
                <w:b w:val="0"/>
                <w:color w:val="1B1C20"/>
                <w:sz w:val="24"/>
                <w:szCs w:val="24"/>
              </w:rPr>
              <w:t xml:space="preserve">que pretende orientas a los actores para llevar un mejor control de los </w:t>
            </w:r>
            <w:r w:rsidR="00AC3728" w:rsidRPr="002F7CE6">
              <w:rPr>
                <w:rFonts w:ascii="Arial" w:hAnsi="Arial" w:cs="Arial"/>
                <w:b w:val="0"/>
                <w:color w:val="1B1C20"/>
                <w:sz w:val="24"/>
                <w:szCs w:val="24"/>
              </w:rPr>
              <w:t xml:space="preserve">fondos públicos </w:t>
            </w:r>
            <w:r w:rsidR="00AC3728">
              <w:rPr>
                <w:rFonts w:ascii="Arial" w:hAnsi="Arial" w:cs="Arial"/>
                <w:b w:val="0"/>
                <w:color w:val="1B1C20"/>
                <w:sz w:val="24"/>
                <w:szCs w:val="24"/>
              </w:rPr>
              <w:t>y que para que se apliquen</w:t>
            </w:r>
            <w:r w:rsidR="00AC3728" w:rsidRPr="002F7CE6">
              <w:rPr>
                <w:rFonts w:ascii="Arial" w:hAnsi="Arial" w:cs="Arial"/>
                <w:b w:val="0"/>
                <w:color w:val="1B1C20"/>
                <w:sz w:val="24"/>
                <w:szCs w:val="24"/>
              </w:rPr>
              <w:t xml:space="preserve"> </w:t>
            </w:r>
            <w:r w:rsidR="00AC3728">
              <w:rPr>
                <w:rFonts w:ascii="Arial" w:hAnsi="Arial" w:cs="Arial"/>
                <w:b w:val="0"/>
                <w:color w:val="1B1C20"/>
                <w:sz w:val="24"/>
                <w:szCs w:val="24"/>
              </w:rPr>
              <w:t xml:space="preserve">eficaz y </w:t>
            </w:r>
            <w:r w:rsidR="00AC3728" w:rsidRPr="002F7CE6">
              <w:rPr>
                <w:rFonts w:ascii="Arial" w:hAnsi="Arial" w:cs="Arial"/>
                <w:b w:val="0"/>
                <w:color w:val="1B1C20"/>
                <w:sz w:val="24"/>
                <w:szCs w:val="24"/>
              </w:rPr>
              <w:t xml:space="preserve">eficiente, </w:t>
            </w:r>
            <w:r w:rsidR="00AC3728">
              <w:rPr>
                <w:rFonts w:ascii="Arial" w:hAnsi="Arial" w:cs="Arial"/>
                <w:b w:val="0"/>
                <w:color w:val="1B1C20"/>
                <w:sz w:val="24"/>
                <w:szCs w:val="24"/>
              </w:rPr>
              <w:t>de</w:t>
            </w:r>
            <w:r w:rsidR="00AC3728" w:rsidRPr="002F7CE6">
              <w:rPr>
                <w:rFonts w:ascii="Arial" w:hAnsi="Arial" w:cs="Arial"/>
                <w:b w:val="0"/>
                <w:color w:val="1B1C20"/>
                <w:sz w:val="24"/>
                <w:szCs w:val="24"/>
              </w:rPr>
              <w:t xml:space="preserve"> acuerdo a los principios de la legalidad y regularidad. </w:t>
            </w:r>
            <w:r w:rsidR="00AC3728">
              <w:rPr>
                <w:rFonts w:ascii="Arial" w:hAnsi="Arial" w:cs="Arial"/>
                <w:b w:val="0"/>
                <w:color w:val="1B1C20"/>
                <w:sz w:val="24"/>
                <w:szCs w:val="24"/>
              </w:rPr>
              <w:t>Aunque su fin al igual sea el buen d</w:t>
            </w:r>
            <w:r w:rsidR="00AC3728" w:rsidRPr="002F7CE6">
              <w:rPr>
                <w:rFonts w:ascii="Arial" w:hAnsi="Arial" w:cs="Arial"/>
                <w:b w:val="0"/>
                <w:color w:val="1B1C20"/>
                <w:sz w:val="24"/>
                <w:szCs w:val="24"/>
              </w:rPr>
              <w:t xml:space="preserve">esarrollo </w:t>
            </w:r>
            <w:r w:rsidR="00AC3728">
              <w:rPr>
                <w:rFonts w:ascii="Arial" w:hAnsi="Arial" w:cs="Arial"/>
                <w:b w:val="0"/>
                <w:color w:val="1B1C20"/>
                <w:sz w:val="24"/>
                <w:szCs w:val="24"/>
              </w:rPr>
              <w:t>del gobierno</w:t>
            </w:r>
            <w:r w:rsidR="00AC3728" w:rsidRPr="002F7CE6">
              <w:rPr>
                <w:rFonts w:ascii="Arial" w:hAnsi="Arial" w:cs="Arial"/>
                <w:b w:val="0"/>
                <w:color w:val="1B1C20"/>
                <w:sz w:val="24"/>
                <w:szCs w:val="24"/>
              </w:rPr>
              <w:t xml:space="preserve"> </w:t>
            </w:r>
            <w:r w:rsidR="00AC3728">
              <w:rPr>
                <w:rFonts w:ascii="Arial" w:hAnsi="Arial" w:cs="Arial"/>
                <w:b w:val="0"/>
                <w:color w:val="1B1C20"/>
                <w:sz w:val="24"/>
                <w:szCs w:val="24"/>
              </w:rPr>
              <w:t>y que se cumpla</w:t>
            </w:r>
            <w:r w:rsidR="00AC3728" w:rsidRPr="002F7CE6">
              <w:rPr>
                <w:rFonts w:ascii="Arial" w:hAnsi="Arial" w:cs="Arial"/>
                <w:b w:val="0"/>
                <w:color w:val="1B1C20"/>
                <w:sz w:val="24"/>
                <w:szCs w:val="24"/>
              </w:rPr>
              <w:t xml:space="preserve"> con las metas internacionales</w:t>
            </w:r>
            <w:r w:rsidR="00AC3728">
              <w:rPr>
                <w:rFonts w:ascii="Arial" w:hAnsi="Arial" w:cs="Arial"/>
                <w:b w:val="0"/>
                <w:color w:val="1B1C20"/>
                <w:sz w:val="24"/>
                <w:szCs w:val="24"/>
              </w:rPr>
              <w:t>, la aplicación de</w:t>
            </w:r>
            <w:r w:rsidR="00AC3728" w:rsidRPr="002F7CE6">
              <w:rPr>
                <w:rFonts w:ascii="Arial" w:hAnsi="Arial" w:cs="Arial"/>
                <w:b w:val="0"/>
                <w:color w:val="1B1C20"/>
                <w:sz w:val="24"/>
                <w:szCs w:val="24"/>
              </w:rPr>
              <w:t xml:space="preserve"> </w:t>
            </w:r>
            <w:r w:rsidR="00AC3728">
              <w:rPr>
                <w:rFonts w:ascii="Arial" w:hAnsi="Arial" w:cs="Arial"/>
                <w:b w:val="0"/>
                <w:color w:val="1B1C20"/>
                <w:sz w:val="24"/>
                <w:szCs w:val="24"/>
              </w:rPr>
              <w:t xml:space="preserve">nuevos </w:t>
            </w:r>
            <w:r w:rsidR="00AC3728" w:rsidRPr="002F7CE6">
              <w:rPr>
                <w:rFonts w:ascii="Arial" w:hAnsi="Arial" w:cs="Arial"/>
                <w:b w:val="0"/>
                <w:color w:val="1B1C20"/>
                <w:sz w:val="24"/>
                <w:szCs w:val="24"/>
              </w:rPr>
              <w:t xml:space="preserve">métodos de auditoria </w:t>
            </w:r>
            <w:r w:rsidR="00AC3728">
              <w:rPr>
                <w:rFonts w:ascii="Arial" w:hAnsi="Arial" w:cs="Arial"/>
                <w:b w:val="0"/>
                <w:color w:val="1B1C20"/>
                <w:sz w:val="24"/>
                <w:szCs w:val="24"/>
              </w:rPr>
              <w:t>con las nuevas herramientas tecnológicas, q</w:t>
            </w:r>
            <w:r w:rsidR="00AC3728" w:rsidRPr="002F7CE6">
              <w:rPr>
                <w:rFonts w:ascii="Arial" w:hAnsi="Arial" w:cs="Arial"/>
                <w:b w:val="0"/>
                <w:color w:val="1B1C20"/>
                <w:sz w:val="24"/>
                <w:szCs w:val="24"/>
              </w:rPr>
              <w:t>ue se disponga de personal moralmente impecable</w:t>
            </w:r>
            <w:r w:rsidR="00AC3728">
              <w:rPr>
                <w:rFonts w:ascii="Arial" w:hAnsi="Arial" w:cs="Arial"/>
                <w:b w:val="0"/>
                <w:color w:val="1B1C20"/>
                <w:sz w:val="24"/>
                <w:szCs w:val="24"/>
              </w:rPr>
              <w:t xml:space="preserve"> </w:t>
            </w:r>
            <w:r w:rsidR="00AC3728" w:rsidRPr="002F7CE6">
              <w:rPr>
                <w:rFonts w:ascii="Arial" w:hAnsi="Arial" w:cs="Arial"/>
                <w:b w:val="0"/>
                <w:color w:val="1B1C20"/>
                <w:sz w:val="24"/>
                <w:szCs w:val="24"/>
              </w:rPr>
              <w:t>concordancia con alta profesionalidad personal y metódica,</w:t>
            </w:r>
            <w:r w:rsidR="00AC3728">
              <w:rPr>
                <w:rFonts w:ascii="Arial" w:hAnsi="Arial" w:cs="Arial"/>
                <w:b w:val="0"/>
                <w:color w:val="1B1C20"/>
                <w:sz w:val="24"/>
                <w:szCs w:val="24"/>
              </w:rPr>
              <w:t xml:space="preserve"> por </w:t>
            </w:r>
            <w:proofErr w:type="spellStart"/>
            <w:r w:rsidR="00AC3728">
              <w:rPr>
                <w:rFonts w:ascii="Arial" w:hAnsi="Arial" w:cs="Arial"/>
                <w:b w:val="0"/>
                <w:color w:val="1B1C20"/>
                <w:sz w:val="24"/>
                <w:szCs w:val="24"/>
              </w:rPr>
              <w:t>ultimo</w:t>
            </w:r>
            <w:proofErr w:type="spellEnd"/>
            <w:r w:rsidR="00AC3728">
              <w:rPr>
                <w:rFonts w:ascii="Arial" w:hAnsi="Arial" w:cs="Arial"/>
                <w:b w:val="0"/>
                <w:color w:val="1B1C20"/>
                <w:sz w:val="24"/>
                <w:szCs w:val="24"/>
              </w:rPr>
              <w:t xml:space="preserve"> </w:t>
            </w:r>
            <w:r w:rsidR="00AC3728" w:rsidRPr="002F7CE6">
              <w:rPr>
                <w:rFonts w:ascii="Arial" w:hAnsi="Arial" w:cs="Arial"/>
                <w:b w:val="0"/>
                <w:color w:val="1B1C20"/>
                <w:sz w:val="24"/>
                <w:szCs w:val="24"/>
              </w:rPr>
              <w:t>la presentación de informes equilibrados, fiables y objetivos sobre</w:t>
            </w:r>
            <w:r w:rsidR="00AC3728">
              <w:rPr>
                <w:rFonts w:ascii="Arial" w:hAnsi="Arial" w:cs="Arial"/>
                <w:b w:val="0"/>
                <w:color w:val="1B1C20"/>
                <w:sz w:val="24"/>
                <w:szCs w:val="24"/>
              </w:rPr>
              <w:t xml:space="preserve"> </w:t>
            </w:r>
            <w:r w:rsidR="00AC3728" w:rsidRPr="002F7CE6">
              <w:rPr>
                <w:rFonts w:ascii="Arial" w:hAnsi="Arial" w:cs="Arial"/>
                <w:b w:val="0"/>
                <w:color w:val="1B1C20"/>
                <w:sz w:val="24"/>
                <w:szCs w:val="24"/>
              </w:rPr>
              <w:t>los resultados de auditoria.</w:t>
            </w:r>
            <w:r w:rsidR="00AC3728">
              <w:rPr>
                <w:rFonts w:ascii="Arial" w:hAnsi="Arial" w:cs="Arial"/>
                <w:b w:val="0"/>
                <w:color w:val="1B1C20"/>
                <w:sz w:val="24"/>
                <w:szCs w:val="24"/>
              </w:rPr>
              <w:t xml:space="preserve"> Lo anterior de nada sirve, si no se </w:t>
            </w:r>
            <w:r w:rsidR="00AC3728">
              <w:rPr>
                <w:rFonts w:ascii="Arial" w:hAnsi="Arial" w:cs="Arial"/>
                <w:b w:val="0"/>
                <w:color w:val="1B1C20"/>
                <w:sz w:val="24"/>
                <w:szCs w:val="24"/>
              </w:rPr>
              <w:lastRenderedPageBreak/>
              <w:t>concreta una real, consciente</w:t>
            </w:r>
            <w:r w:rsidR="00843550">
              <w:rPr>
                <w:rFonts w:ascii="Arial" w:hAnsi="Arial" w:cs="Arial"/>
                <w:b w:val="0"/>
                <w:color w:val="1B1C20"/>
                <w:sz w:val="24"/>
                <w:szCs w:val="24"/>
              </w:rPr>
              <w:t xml:space="preserve"> y responsable AUTONOMÍ</w:t>
            </w:r>
            <w:r w:rsidR="00AC3728">
              <w:rPr>
                <w:rFonts w:ascii="Arial" w:hAnsi="Arial" w:cs="Arial"/>
                <w:b w:val="0"/>
                <w:color w:val="1B1C20"/>
                <w:sz w:val="24"/>
                <w:szCs w:val="24"/>
              </w:rPr>
              <w:t>A, entre los Órganos de Control y el Esta</w:t>
            </w:r>
            <w:r w:rsidR="00631D10">
              <w:rPr>
                <w:rFonts w:ascii="Arial" w:hAnsi="Arial" w:cs="Arial"/>
                <w:b w:val="0"/>
                <w:color w:val="1B1C20"/>
                <w:sz w:val="24"/>
                <w:szCs w:val="24"/>
              </w:rPr>
              <w:t xml:space="preserve">do, en virtud a la injerencia del Gobierno </w:t>
            </w:r>
            <w:r w:rsidR="00843550">
              <w:rPr>
                <w:rFonts w:ascii="Arial" w:hAnsi="Arial" w:cs="Arial"/>
                <w:b w:val="0"/>
                <w:color w:val="1B1C20"/>
                <w:sz w:val="24"/>
                <w:szCs w:val="24"/>
              </w:rPr>
              <w:t>con</w:t>
            </w:r>
            <w:r w:rsidR="00631D10">
              <w:rPr>
                <w:rFonts w:ascii="Arial" w:hAnsi="Arial" w:cs="Arial"/>
                <w:b w:val="0"/>
                <w:color w:val="1B1C20"/>
                <w:sz w:val="24"/>
                <w:szCs w:val="24"/>
              </w:rPr>
              <w:t xml:space="preserve"> los integrantes del </w:t>
            </w:r>
            <w:r w:rsidR="00843550">
              <w:rPr>
                <w:rFonts w:ascii="Arial" w:hAnsi="Arial" w:cs="Arial"/>
                <w:b w:val="0"/>
                <w:color w:val="1B1C20"/>
                <w:sz w:val="24"/>
                <w:szCs w:val="24"/>
              </w:rPr>
              <w:t>Cámara de Diputados, de quien depende la regulación y control del Órgano de Fiscalización; de ahí que ante complacencias, se origina los malos</w:t>
            </w:r>
            <w:r w:rsidR="00631D10">
              <w:rPr>
                <w:rFonts w:ascii="Arial" w:hAnsi="Arial" w:cs="Arial"/>
                <w:b w:val="0"/>
                <w:color w:val="1B1C20"/>
                <w:sz w:val="24"/>
                <w:szCs w:val="24"/>
              </w:rPr>
              <w:t xml:space="preserve"> manejo de los recursos públicos</w:t>
            </w:r>
            <w:r w:rsidR="00843550">
              <w:rPr>
                <w:rFonts w:ascii="Arial" w:hAnsi="Arial" w:cs="Arial"/>
                <w:b w:val="0"/>
                <w:color w:val="1B1C20"/>
                <w:sz w:val="24"/>
                <w:szCs w:val="24"/>
              </w:rPr>
              <w:t xml:space="preserve">, </w:t>
            </w:r>
            <w:r w:rsidR="00631D10">
              <w:rPr>
                <w:rFonts w:ascii="Arial" w:hAnsi="Arial" w:cs="Arial"/>
                <w:b w:val="0"/>
                <w:color w:val="1B1C20"/>
                <w:sz w:val="24"/>
                <w:szCs w:val="24"/>
              </w:rPr>
              <w:t>la evidente corrupción y falta de t</w:t>
            </w:r>
            <w:r w:rsidR="00AC3728" w:rsidRPr="002F7CE6">
              <w:rPr>
                <w:rFonts w:ascii="Arial" w:hAnsi="Arial" w:cs="Arial"/>
                <w:b w:val="0"/>
                <w:color w:val="1B1C20"/>
                <w:sz w:val="24"/>
                <w:szCs w:val="24"/>
              </w:rPr>
              <w:t>ransparencia de la administración pública</w:t>
            </w:r>
            <w:r w:rsidR="00AC3728">
              <w:rPr>
                <w:rFonts w:ascii="Arial" w:hAnsi="Arial" w:cs="Arial"/>
                <w:b w:val="0"/>
                <w:color w:val="1B1C20"/>
                <w:sz w:val="24"/>
                <w:szCs w:val="24"/>
              </w:rPr>
              <w:t xml:space="preserve"> </w:t>
            </w:r>
            <w:r w:rsidR="00AC3728" w:rsidRPr="002F7CE6">
              <w:rPr>
                <w:rFonts w:ascii="Arial" w:hAnsi="Arial" w:cs="Arial"/>
                <w:b w:val="0"/>
                <w:color w:val="1B1C20"/>
                <w:sz w:val="24"/>
                <w:szCs w:val="24"/>
              </w:rPr>
              <w:t xml:space="preserve">lo que </w:t>
            </w:r>
            <w:r w:rsidR="00631D10">
              <w:rPr>
                <w:rFonts w:ascii="Arial" w:hAnsi="Arial" w:cs="Arial"/>
                <w:b w:val="0"/>
                <w:color w:val="1B1C20"/>
                <w:sz w:val="24"/>
                <w:szCs w:val="24"/>
              </w:rPr>
              <w:t xml:space="preserve">ha </w:t>
            </w:r>
            <w:r w:rsidR="00AC3728" w:rsidRPr="002F7CE6">
              <w:rPr>
                <w:rFonts w:ascii="Arial" w:hAnsi="Arial" w:cs="Arial"/>
                <w:b w:val="0"/>
                <w:color w:val="1B1C20"/>
                <w:sz w:val="24"/>
                <w:szCs w:val="24"/>
              </w:rPr>
              <w:t>fomenta</w:t>
            </w:r>
            <w:r w:rsidR="00631D10">
              <w:rPr>
                <w:rFonts w:ascii="Arial" w:hAnsi="Arial" w:cs="Arial"/>
                <w:b w:val="0"/>
                <w:color w:val="1B1C20"/>
                <w:sz w:val="24"/>
                <w:szCs w:val="24"/>
              </w:rPr>
              <w:t>do desconfianza de</w:t>
            </w:r>
            <w:r w:rsidR="00843550">
              <w:rPr>
                <w:rFonts w:ascii="Arial" w:hAnsi="Arial" w:cs="Arial"/>
                <w:b w:val="0"/>
                <w:color w:val="1B1C20"/>
                <w:sz w:val="24"/>
                <w:szCs w:val="24"/>
              </w:rPr>
              <w:t xml:space="preserve"> </w:t>
            </w:r>
            <w:r w:rsidR="00AC3728" w:rsidRPr="002F7CE6">
              <w:rPr>
                <w:rFonts w:ascii="Arial" w:hAnsi="Arial" w:cs="Arial"/>
                <w:b w:val="0"/>
                <w:color w:val="1B1C20"/>
                <w:sz w:val="24"/>
                <w:szCs w:val="24"/>
              </w:rPr>
              <w:t>la ciudadanía en las instituciones públicas</w:t>
            </w:r>
            <w:r w:rsidR="00631D10">
              <w:rPr>
                <w:rFonts w:ascii="Arial" w:hAnsi="Arial" w:cs="Arial"/>
                <w:b w:val="0"/>
                <w:color w:val="1B1C20"/>
                <w:sz w:val="24"/>
                <w:szCs w:val="24"/>
              </w:rPr>
              <w:t>.</w:t>
            </w:r>
          </w:p>
        </w:tc>
      </w:tr>
      <w:tr w:rsidR="00711CA1" w:rsidRPr="002F7CE6" w:rsidTr="002F7C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03" w:type="dxa"/>
            <w:gridSpan w:val="4"/>
            <w:shd w:val="clear" w:color="auto" w:fill="auto"/>
            <w:hideMark/>
          </w:tcPr>
          <w:p w:rsidR="00711CA1" w:rsidRPr="00B97BB7" w:rsidRDefault="00711CA1" w:rsidP="00843550">
            <w:pPr>
              <w:spacing w:line="360" w:lineRule="auto"/>
              <w:jc w:val="both"/>
              <w:rPr>
                <w:rFonts w:ascii="Arial" w:hAnsi="Arial" w:cs="Arial"/>
                <w:sz w:val="24"/>
                <w:szCs w:val="24"/>
              </w:rPr>
            </w:pPr>
            <w:r w:rsidRPr="00B97BB7">
              <w:rPr>
                <w:rFonts w:ascii="Arial" w:hAnsi="Arial" w:cs="Arial"/>
                <w:sz w:val="24"/>
                <w:szCs w:val="24"/>
              </w:rPr>
              <w:t>CONCLUSIONES</w:t>
            </w:r>
          </w:p>
          <w:p w:rsidR="00711CA1" w:rsidRPr="002F7CE6" w:rsidRDefault="00B97BB7" w:rsidP="00843550">
            <w:pPr>
              <w:spacing w:line="360" w:lineRule="auto"/>
              <w:jc w:val="both"/>
              <w:rPr>
                <w:rFonts w:ascii="Arial" w:hAnsi="Arial" w:cs="Arial"/>
                <w:b w:val="0"/>
                <w:sz w:val="24"/>
                <w:szCs w:val="24"/>
              </w:rPr>
            </w:pPr>
            <w:r w:rsidRPr="002B702E">
              <w:rPr>
                <w:rFonts w:ascii="Arial" w:hAnsi="Arial" w:cs="Arial"/>
                <w:b w:val="0"/>
                <w:color w:val="222222"/>
                <w:sz w:val="24"/>
                <w:szCs w:val="24"/>
              </w:rPr>
              <w:t xml:space="preserve">Los principios de la declaración de Lima sobre las líneas básicas de la Fiscalización y Los principios de la declaración de México sobre independencia de las Entidades Fiscalizadoras Superiores, ambas celebradas ante la </w:t>
            </w:r>
            <w:r w:rsidRPr="002B702E">
              <w:rPr>
                <w:rFonts w:ascii="Arial" w:hAnsi="Arial" w:cs="Arial"/>
                <w:b w:val="0"/>
                <w:color w:val="1B1C20"/>
                <w:sz w:val="24"/>
                <w:szCs w:val="24"/>
              </w:rPr>
              <w:t xml:space="preserve">Organización Internacional de Entidades Fiscalizadoras Superiores, sin duda </w:t>
            </w:r>
            <w:r>
              <w:rPr>
                <w:rFonts w:ascii="Arial" w:hAnsi="Arial" w:cs="Arial"/>
                <w:b w:val="0"/>
                <w:color w:val="1B1C20"/>
                <w:sz w:val="24"/>
                <w:szCs w:val="24"/>
              </w:rPr>
              <w:t xml:space="preserve">deja un precedente en el andamiaje por consolidar nuevas herramientas en materia de </w:t>
            </w:r>
            <w:r w:rsidRPr="002B702E">
              <w:rPr>
                <w:rFonts w:ascii="Arial" w:hAnsi="Arial" w:cs="Arial"/>
                <w:b w:val="0"/>
                <w:sz w:val="24"/>
                <w:szCs w:val="24"/>
              </w:rPr>
              <w:t xml:space="preserve">fiscalización </w:t>
            </w:r>
            <w:r>
              <w:rPr>
                <w:rFonts w:ascii="Arial" w:hAnsi="Arial" w:cs="Arial"/>
                <w:b w:val="0"/>
                <w:sz w:val="24"/>
                <w:szCs w:val="24"/>
              </w:rPr>
              <w:t>y que a su vez contribuye a los nuevos modelos para reducir la lamentable brecha ante reclamo</w:t>
            </w:r>
            <w:r w:rsidRPr="002B702E">
              <w:rPr>
                <w:rFonts w:ascii="Arial" w:hAnsi="Arial" w:cs="Arial"/>
                <w:b w:val="0"/>
                <w:sz w:val="24"/>
                <w:szCs w:val="24"/>
              </w:rPr>
              <w:t xml:space="preserve"> social </w:t>
            </w:r>
            <w:r>
              <w:rPr>
                <w:rFonts w:ascii="Arial" w:hAnsi="Arial" w:cs="Arial"/>
                <w:b w:val="0"/>
                <w:sz w:val="24"/>
                <w:szCs w:val="24"/>
              </w:rPr>
              <w:t xml:space="preserve">por </w:t>
            </w:r>
            <w:r w:rsidRPr="002B702E">
              <w:rPr>
                <w:rFonts w:ascii="Arial" w:hAnsi="Arial" w:cs="Arial"/>
                <w:b w:val="0"/>
                <w:sz w:val="24"/>
                <w:szCs w:val="24"/>
              </w:rPr>
              <w:t xml:space="preserve">viejas y lamentables prácticas que han lastimado a nuestra sociedad como la injusticia </w:t>
            </w:r>
            <w:r>
              <w:rPr>
                <w:rFonts w:ascii="Arial" w:hAnsi="Arial" w:cs="Arial"/>
                <w:b w:val="0"/>
                <w:sz w:val="24"/>
                <w:szCs w:val="24"/>
              </w:rPr>
              <w:t>e inequidad social</w:t>
            </w:r>
            <w:r w:rsidRPr="002B702E">
              <w:rPr>
                <w:rFonts w:ascii="Arial" w:hAnsi="Arial" w:cs="Arial"/>
                <w:b w:val="0"/>
                <w:sz w:val="24"/>
                <w:szCs w:val="24"/>
              </w:rPr>
              <w:t>, abatidos por la corrupción</w:t>
            </w:r>
            <w:r>
              <w:rPr>
                <w:rFonts w:ascii="Arial" w:hAnsi="Arial" w:cs="Arial"/>
                <w:b w:val="0"/>
                <w:sz w:val="24"/>
                <w:szCs w:val="24"/>
              </w:rPr>
              <w:t>; así como de las</w:t>
            </w:r>
            <w:r w:rsidRPr="002B702E">
              <w:rPr>
                <w:rFonts w:ascii="Arial" w:hAnsi="Arial" w:cs="Arial"/>
                <w:b w:val="0"/>
                <w:sz w:val="24"/>
                <w:szCs w:val="24"/>
              </w:rPr>
              <w:t xml:space="preserve"> deficiencias </w:t>
            </w:r>
            <w:r>
              <w:rPr>
                <w:rFonts w:ascii="Arial" w:hAnsi="Arial" w:cs="Arial"/>
                <w:b w:val="0"/>
                <w:sz w:val="24"/>
                <w:szCs w:val="24"/>
              </w:rPr>
              <w:t xml:space="preserve">en la administración pública, malos </w:t>
            </w:r>
            <w:r w:rsidRPr="002B702E">
              <w:rPr>
                <w:rFonts w:ascii="Arial" w:hAnsi="Arial" w:cs="Arial"/>
                <w:b w:val="0"/>
                <w:sz w:val="24"/>
                <w:szCs w:val="24"/>
              </w:rPr>
              <w:t>manejo de documentación y archivos, la asignación presupuestal, el gasto, el efecto en los resultados y mecanismos de evaluación</w:t>
            </w:r>
            <w:r>
              <w:rPr>
                <w:rFonts w:ascii="Arial" w:hAnsi="Arial" w:cs="Arial"/>
                <w:b w:val="0"/>
                <w:sz w:val="24"/>
                <w:szCs w:val="24"/>
              </w:rPr>
              <w:t xml:space="preserve">. De ahí que hoy día las </w:t>
            </w:r>
            <w:r w:rsidRPr="002B702E">
              <w:rPr>
                <w:rFonts w:ascii="Arial" w:hAnsi="Arial" w:cs="Arial"/>
                <w:b w:val="0"/>
                <w:color w:val="222222"/>
                <w:sz w:val="24"/>
                <w:szCs w:val="24"/>
              </w:rPr>
              <w:t>Entidades Fiscalizadoras Superiores</w:t>
            </w:r>
            <w:r>
              <w:rPr>
                <w:rFonts w:ascii="Arial" w:hAnsi="Arial" w:cs="Arial"/>
                <w:b w:val="0"/>
                <w:color w:val="222222"/>
                <w:sz w:val="24"/>
                <w:szCs w:val="24"/>
              </w:rPr>
              <w:t xml:space="preserve">, se preocupan por consolidar una estructura, </w:t>
            </w:r>
            <w:r w:rsidRPr="00B97BB7">
              <w:rPr>
                <w:rFonts w:ascii="Arial" w:hAnsi="Arial" w:cs="Arial"/>
                <w:b w:val="0"/>
                <w:color w:val="1B1C20"/>
                <w:sz w:val="24"/>
                <w:szCs w:val="24"/>
              </w:rPr>
              <w:t xml:space="preserve">con autonomía e independencia para disponer de los recursos financieros, materiales y humanos </w:t>
            </w:r>
            <w:r>
              <w:rPr>
                <w:rFonts w:ascii="Arial" w:hAnsi="Arial" w:cs="Arial"/>
                <w:b w:val="0"/>
                <w:color w:val="1B1C20"/>
                <w:sz w:val="24"/>
                <w:szCs w:val="24"/>
              </w:rPr>
              <w:t>de manera e</w:t>
            </w:r>
            <w:r w:rsidRPr="00B97BB7">
              <w:rPr>
                <w:rFonts w:ascii="Arial" w:hAnsi="Arial" w:cs="Arial"/>
                <w:b w:val="0"/>
                <w:color w:val="1B1C20"/>
                <w:sz w:val="24"/>
                <w:szCs w:val="24"/>
              </w:rPr>
              <w:t>fi</w:t>
            </w:r>
            <w:r>
              <w:rPr>
                <w:rFonts w:ascii="Arial" w:hAnsi="Arial" w:cs="Arial"/>
                <w:b w:val="0"/>
                <w:color w:val="1B1C20"/>
                <w:sz w:val="24"/>
                <w:szCs w:val="24"/>
              </w:rPr>
              <w:t>caz y eficiente, basado en herramientas jurídicas contundentes</w:t>
            </w:r>
            <w:r w:rsidRPr="00B97BB7">
              <w:rPr>
                <w:rFonts w:ascii="Arial" w:hAnsi="Arial" w:cs="Arial"/>
                <w:b w:val="0"/>
                <w:color w:val="1B1C20"/>
                <w:sz w:val="24"/>
                <w:szCs w:val="24"/>
              </w:rPr>
              <w:t>, garantizando objetividad, credibilidad, la transparencia y acciones preventivas o correctivas para la mejora de los gobiernos</w:t>
            </w:r>
            <w:r>
              <w:rPr>
                <w:rFonts w:ascii="Arial" w:hAnsi="Arial" w:cs="Arial"/>
                <w:b w:val="0"/>
                <w:color w:val="1B1C20"/>
                <w:sz w:val="24"/>
                <w:szCs w:val="24"/>
              </w:rPr>
              <w:t>.</w:t>
            </w:r>
          </w:p>
        </w:tc>
      </w:tr>
    </w:tbl>
    <w:p w:rsidR="001D3DAE" w:rsidRPr="00BE127C" w:rsidRDefault="001D3DAE" w:rsidP="00432B34">
      <w:pPr>
        <w:spacing w:line="360" w:lineRule="auto"/>
        <w:rPr>
          <w:rFonts w:ascii="Arial" w:hAnsi="Arial" w:cs="Arial"/>
        </w:rPr>
      </w:pPr>
    </w:p>
    <w:sectPr w:rsidR="001D3DAE" w:rsidRPr="00BE127C" w:rsidSect="00432B34">
      <w:headerReference w:type="default" r:id="rId7"/>
      <w:footerReference w:type="default" r:id="rId8"/>
      <w:pgSz w:w="15840" w:h="12240" w:orient="landscape" w:code="1"/>
      <w:pgMar w:top="1701" w:right="1418" w:bottom="1418" w:left="1701"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3057" w:rsidRDefault="001C3057" w:rsidP="00432B34">
      <w:pPr>
        <w:spacing w:after="0" w:line="240" w:lineRule="auto"/>
      </w:pPr>
      <w:r>
        <w:separator/>
      </w:r>
    </w:p>
  </w:endnote>
  <w:endnote w:type="continuationSeparator" w:id="0">
    <w:p w:rsidR="001C3057" w:rsidRDefault="001C3057" w:rsidP="00432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B34" w:rsidRPr="00C3661C" w:rsidRDefault="00432B34" w:rsidP="00432B34">
    <w:pPr>
      <w:spacing w:after="0" w:line="240" w:lineRule="auto"/>
      <w:rPr>
        <w:rStyle w:val="Textoennegrita"/>
        <w:rFonts w:ascii="Arial" w:hAnsi="Arial" w:cs="Arial"/>
        <w:i/>
        <w:sz w:val="24"/>
        <w:szCs w:val="24"/>
        <w:shd w:val="clear" w:color="auto" w:fill="FFFFFF"/>
      </w:rPr>
    </w:pPr>
    <w:r w:rsidRPr="00C3661C">
      <w:rPr>
        <w:rFonts w:ascii="Arial" w:hAnsi="Arial" w:cs="Arial"/>
        <w:sz w:val="24"/>
        <w:szCs w:val="24"/>
      </w:rPr>
      <w:t>Maestra:</w:t>
    </w:r>
    <w:r w:rsidRPr="00C3661C">
      <w:rPr>
        <w:rFonts w:ascii="Arial" w:hAnsi="Arial" w:cs="Arial"/>
      </w:rPr>
      <w:t xml:space="preserve"> </w:t>
    </w:r>
    <w:r w:rsidRPr="00C3661C">
      <w:rPr>
        <w:rStyle w:val="Textoennegrita"/>
        <w:rFonts w:ascii="Arial" w:hAnsi="Arial" w:cs="Arial"/>
        <w:i/>
        <w:sz w:val="24"/>
        <w:szCs w:val="24"/>
        <w:shd w:val="clear" w:color="auto" w:fill="FFFFFF"/>
      </w:rPr>
      <w:t xml:space="preserve">Mtra. Martha Laura </w:t>
    </w:r>
    <w:proofErr w:type="spellStart"/>
    <w:r w:rsidRPr="00C3661C">
      <w:rPr>
        <w:rStyle w:val="Textoennegrita"/>
        <w:rFonts w:ascii="Arial" w:hAnsi="Arial" w:cs="Arial"/>
        <w:i/>
        <w:sz w:val="24"/>
        <w:szCs w:val="24"/>
        <w:shd w:val="clear" w:color="auto" w:fill="FFFFFF"/>
      </w:rPr>
      <w:t>Bolivar</w:t>
    </w:r>
    <w:proofErr w:type="spellEnd"/>
    <w:r w:rsidRPr="00C3661C">
      <w:rPr>
        <w:rStyle w:val="Textoennegrita"/>
        <w:rFonts w:ascii="Arial" w:hAnsi="Arial" w:cs="Arial"/>
        <w:i/>
        <w:sz w:val="24"/>
        <w:szCs w:val="24"/>
        <w:shd w:val="clear" w:color="auto" w:fill="FFFFFF"/>
      </w:rPr>
      <w:t xml:space="preserve"> Meza</w:t>
    </w:r>
  </w:p>
  <w:p w:rsidR="00432B34" w:rsidRPr="00C3661C" w:rsidRDefault="00432B34" w:rsidP="00432B34">
    <w:pPr>
      <w:spacing w:after="0" w:line="240" w:lineRule="auto"/>
      <w:rPr>
        <w:rFonts w:ascii="Arial" w:hAnsi="Arial" w:cs="Arial"/>
      </w:rPr>
    </w:pPr>
    <w:r>
      <w:rPr>
        <w:rStyle w:val="Textoennegrita"/>
        <w:rFonts w:ascii="Arial" w:hAnsi="Arial" w:cs="Arial"/>
        <w:sz w:val="24"/>
        <w:szCs w:val="24"/>
        <w:shd w:val="clear" w:color="auto" w:fill="FFFFFF"/>
      </w:rPr>
      <w:t xml:space="preserve">              </w:t>
    </w:r>
    <w:r w:rsidRPr="00C3661C">
      <w:rPr>
        <w:rFonts w:ascii="Arial" w:hAnsi="Arial" w:cs="Arial"/>
        <w:sz w:val="24"/>
        <w:szCs w:val="24"/>
      </w:rPr>
      <w:t>Alumno:</w:t>
    </w:r>
    <w:r w:rsidRPr="00C3661C">
      <w:rPr>
        <w:rStyle w:val="Textoennegrita"/>
        <w:rFonts w:ascii="Arial" w:hAnsi="Arial" w:cs="Arial"/>
        <w:sz w:val="24"/>
        <w:szCs w:val="24"/>
        <w:shd w:val="clear" w:color="auto" w:fill="FFFFFF"/>
      </w:rPr>
      <w:t xml:space="preserve"> </w:t>
    </w:r>
    <w:r w:rsidRPr="00C3661C">
      <w:rPr>
        <w:rStyle w:val="Textoennegrita"/>
        <w:rFonts w:ascii="Arial" w:hAnsi="Arial" w:cs="Arial"/>
        <w:i/>
        <w:sz w:val="24"/>
        <w:szCs w:val="24"/>
        <w:shd w:val="clear" w:color="auto" w:fill="FFFFFF"/>
      </w:rPr>
      <w:t>Roberto Díaz Bustamante</w:t>
    </w:r>
  </w:p>
  <w:p w:rsidR="00432B34" w:rsidRDefault="00432B34">
    <w:pPr>
      <w:pStyle w:val="Piedepgina"/>
    </w:pPr>
  </w:p>
  <w:p w:rsidR="00432B34" w:rsidRDefault="00432B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3057" w:rsidRDefault="001C3057" w:rsidP="00432B34">
      <w:pPr>
        <w:spacing w:after="0" w:line="240" w:lineRule="auto"/>
      </w:pPr>
      <w:r>
        <w:separator/>
      </w:r>
    </w:p>
  </w:footnote>
  <w:footnote w:type="continuationSeparator" w:id="0">
    <w:p w:rsidR="001C3057" w:rsidRDefault="001C3057" w:rsidP="00432B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2B34" w:rsidRDefault="00432B34">
    <w:pPr>
      <w:pStyle w:val="Encabezado"/>
    </w:pPr>
  </w:p>
  <w:tbl>
    <w:tblPr>
      <w:tblStyle w:val="Tablaconcuadrcula"/>
      <w:tblW w:w="13578"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1"/>
      <w:gridCol w:w="10047"/>
    </w:tblGrid>
    <w:tr w:rsidR="00432B34" w:rsidRPr="009C3C54" w:rsidTr="00432B34">
      <w:trPr>
        <w:trHeight w:val="1031"/>
      </w:trPr>
      <w:tc>
        <w:tcPr>
          <w:tcW w:w="3531" w:type="dxa"/>
        </w:tcPr>
        <w:p w:rsidR="00432B34" w:rsidRPr="009C3C54" w:rsidRDefault="00432B34" w:rsidP="00432B34">
          <w:pPr>
            <w:tabs>
              <w:tab w:val="center" w:pos="4252"/>
              <w:tab w:val="right" w:pos="8504"/>
            </w:tabs>
            <w:rPr>
              <w:rFonts w:ascii="Times New Roman" w:eastAsia="Times New Roman" w:hAnsi="Times New Roman" w:cs="Times New Roman"/>
              <w:sz w:val="24"/>
              <w:szCs w:val="24"/>
              <w:lang w:eastAsia="es-ES"/>
            </w:rPr>
          </w:pPr>
          <w:r w:rsidRPr="009C3C54">
            <w:rPr>
              <w:rFonts w:ascii="Times New Roman" w:eastAsia="Times New Roman" w:hAnsi="Times New Roman" w:cs="Times New Roman"/>
              <w:noProof/>
              <w:sz w:val="24"/>
              <w:szCs w:val="24"/>
              <w:lang w:eastAsia="es-ES"/>
            </w:rPr>
            <w:drawing>
              <wp:inline distT="0" distB="0" distL="0" distR="0" wp14:anchorId="16D82559" wp14:editId="7D1D751C">
                <wp:extent cx="1722474" cy="645400"/>
                <wp:effectExtent l="0" t="0" r="0" b="2540"/>
                <wp:docPr id="34" name="Imagen 34" descr="IAP-Chi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215" cy="643804"/>
                        </a:xfrm>
                        <a:prstGeom prst="rect">
                          <a:avLst/>
                        </a:prstGeom>
                        <a:noFill/>
                        <a:ln>
                          <a:noFill/>
                        </a:ln>
                      </pic:spPr>
                    </pic:pic>
                  </a:graphicData>
                </a:graphic>
              </wp:inline>
            </w:drawing>
          </w:r>
        </w:p>
      </w:tc>
      <w:tc>
        <w:tcPr>
          <w:tcW w:w="10047" w:type="dxa"/>
        </w:tcPr>
        <w:p w:rsidR="00432B34" w:rsidRPr="009C3C54" w:rsidRDefault="00432B34" w:rsidP="00432B34">
          <w:pPr>
            <w:tabs>
              <w:tab w:val="center" w:pos="4252"/>
              <w:tab w:val="right" w:pos="8504"/>
            </w:tabs>
            <w:jc w:val="right"/>
            <w:rPr>
              <w:rFonts w:eastAsia="Times New Roman" w:cs="Times New Roman"/>
              <w:sz w:val="24"/>
              <w:szCs w:val="24"/>
              <w:lang w:eastAsia="es-ES"/>
            </w:rPr>
          </w:pPr>
          <w:r w:rsidRPr="009C3C54">
            <w:rPr>
              <w:rFonts w:eastAsia="Times New Roman" w:cs="Times New Roman"/>
              <w:sz w:val="24"/>
              <w:szCs w:val="24"/>
              <w:lang w:eastAsia="es-ES"/>
            </w:rPr>
            <w:t xml:space="preserve">Maestría en línea: </w:t>
          </w:r>
        </w:p>
        <w:p w:rsidR="00432B34" w:rsidRPr="009C3C54" w:rsidRDefault="00432B34" w:rsidP="00432B34">
          <w:pPr>
            <w:tabs>
              <w:tab w:val="center" w:pos="4252"/>
              <w:tab w:val="right" w:pos="8504"/>
            </w:tabs>
            <w:jc w:val="right"/>
            <w:rPr>
              <w:rFonts w:eastAsia="Times New Roman" w:cs="Times New Roman"/>
              <w:b/>
              <w:sz w:val="24"/>
              <w:szCs w:val="24"/>
              <w:lang w:eastAsia="es-ES"/>
            </w:rPr>
          </w:pPr>
          <w:r w:rsidRPr="009C3C54">
            <w:rPr>
              <w:rFonts w:eastAsia="Times New Roman" w:cs="Times New Roman"/>
              <w:b/>
              <w:sz w:val="24"/>
              <w:szCs w:val="24"/>
              <w:lang w:eastAsia="es-ES"/>
            </w:rPr>
            <w:t>Administración y Políticas Públicas</w:t>
          </w:r>
        </w:p>
        <w:p w:rsidR="00432B34" w:rsidRDefault="00432B34" w:rsidP="00432B34">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Materia: Rendición de Cuentas y Contraloría Social.</w:t>
          </w:r>
        </w:p>
        <w:p w:rsidR="00432B34" w:rsidRPr="00827837" w:rsidRDefault="00432B34" w:rsidP="00432B34">
          <w:pPr>
            <w:tabs>
              <w:tab w:val="center" w:pos="4252"/>
              <w:tab w:val="right" w:pos="8504"/>
            </w:tabs>
            <w:jc w:val="right"/>
            <w:rPr>
              <w:rFonts w:eastAsia="Times New Roman" w:cs="Times New Roman"/>
              <w:sz w:val="24"/>
              <w:szCs w:val="24"/>
              <w:lang w:eastAsia="es-ES"/>
            </w:rPr>
          </w:pPr>
          <w:r>
            <w:rPr>
              <w:rFonts w:eastAsia="Times New Roman" w:cs="Times New Roman"/>
              <w:sz w:val="24"/>
              <w:szCs w:val="24"/>
              <w:lang w:eastAsia="es-ES"/>
            </w:rPr>
            <w:t xml:space="preserve">Actividad </w:t>
          </w:r>
          <w:r>
            <w:rPr>
              <w:rFonts w:eastAsia="Times New Roman" w:cs="Times New Roman"/>
              <w:sz w:val="24"/>
              <w:szCs w:val="24"/>
              <w:lang w:eastAsia="es-ES"/>
            </w:rPr>
            <w:t>2</w:t>
          </w:r>
        </w:p>
      </w:tc>
    </w:tr>
  </w:tbl>
  <w:p w:rsidR="00432B34" w:rsidRDefault="00432B34" w:rsidP="00432B34">
    <w:pPr>
      <w:autoSpaceDE w:val="0"/>
      <w:autoSpaceDN w:val="0"/>
      <w:adjustRightInd w:val="0"/>
      <w:spacing w:after="0" w:line="240" w:lineRule="auto"/>
    </w:pPr>
    <w:r w:rsidRPr="00432B34">
      <w:rPr>
        <w:rFonts w:ascii="Arial" w:hAnsi="Arial" w:cs="Arial"/>
        <w:b/>
        <w:sz w:val="24"/>
        <w:szCs w:val="24"/>
        <w:u w:val="single"/>
      </w:rPr>
      <w:t>CUADRO COMPARATIVO:</w:t>
    </w:r>
    <w:r w:rsidRPr="00432B34">
      <w:rPr>
        <w:rFonts w:ascii="Arial" w:hAnsi="Arial" w:cs="Arial"/>
        <w:bCs/>
        <w:sz w:val="24"/>
        <w:szCs w:val="24"/>
      </w:rPr>
      <w:t xml:space="preserve"> </w:t>
    </w:r>
    <w:r w:rsidRPr="00432B34">
      <w:rPr>
        <w:rFonts w:ascii="Arial" w:hAnsi="Arial" w:cs="Arial"/>
        <w:bCs/>
        <w:sz w:val="24"/>
        <w:szCs w:val="24"/>
        <w:u w:val="single"/>
      </w:rPr>
      <w:t>Organización Internacional de las Entidades</w:t>
    </w:r>
    <w:r w:rsidRPr="00432B34">
      <w:rPr>
        <w:rFonts w:ascii="Arial" w:hAnsi="Arial" w:cs="Arial"/>
        <w:bCs/>
        <w:sz w:val="24"/>
        <w:szCs w:val="24"/>
        <w:u w:val="single"/>
      </w:rPr>
      <w:t xml:space="preserve"> </w:t>
    </w:r>
    <w:r w:rsidRPr="00432B34">
      <w:rPr>
        <w:rFonts w:ascii="Arial" w:hAnsi="Arial" w:cs="Arial"/>
        <w:bCs/>
        <w:sz w:val="24"/>
        <w:szCs w:val="24"/>
        <w:u w:val="single"/>
      </w:rPr>
      <w:t>Fiscalizadoras Superiores</w:t>
    </w:r>
    <w:r>
      <w:rPr>
        <w:rFonts w:ascii="Arial" w:hAnsi="Arial" w:cs="Arial"/>
        <w:bCs/>
        <w:sz w:val="24"/>
        <w:szCs w:val="24"/>
        <w:u w:val="single"/>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F9C"/>
    <w:multiLevelType w:val="hybridMultilevel"/>
    <w:tmpl w:val="5ECE9E3C"/>
    <w:lvl w:ilvl="0" w:tplc="FE9427AC">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E5825"/>
    <w:multiLevelType w:val="hybridMultilevel"/>
    <w:tmpl w:val="A34C3E6C"/>
    <w:lvl w:ilvl="0" w:tplc="5DF290DE">
      <w:start w:val="19"/>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0F17F7"/>
    <w:multiLevelType w:val="hybridMultilevel"/>
    <w:tmpl w:val="48102516"/>
    <w:lvl w:ilvl="0" w:tplc="8804787A">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2FE1090"/>
    <w:multiLevelType w:val="hybridMultilevel"/>
    <w:tmpl w:val="0B4A56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226126"/>
    <w:multiLevelType w:val="hybridMultilevel"/>
    <w:tmpl w:val="626EB050"/>
    <w:lvl w:ilvl="0" w:tplc="F5E4EEEA">
      <w:start w:val="7"/>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011508"/>
    <w:multiLevelType w:val="hybridMultilevel"/>
    <w:tmpl w:val="1340FD76"/>
    <w:lvl w:ilvl="0" w:tplc="D402EC48">
      <w:start w:val="2"/>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8B64B84"/>
    <w:multiLevelType w:val="hybridMultilevel"/>
    <w:tmpl w:val="7316AD1C"/>
    <w:lvl w:ilvl="0" w:tplc="F036F188">
      <w:start w:val="4"/>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920731"/>
    <w:multiLevelType w:val="hybridMultilevel"/>
    <w:tmpl w:val="62B67C48"/>
    <w:lvl w:ilvl="0" w:tplc="FE9427A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081474C"/>
    <w:multiLevelType w:val="hybridMultilevel"/>
    <w:tmpl w:val="4C9C93E2"/>
    <w:lvl w:ilvl="0" w:tplc="79A0749A">
      <w:start w:val="1"/>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9521AE3"/>
    <w:multiLevelType w:val="hybridMultilevel"/>
    <w:tmpl w:val="46D6FF80"/>
    <w:lvl w:ilvl="0" w:tplc="84A084C2">
      <w:start w:val="1"/>
      <w:numFmt w:val="decimal"/>
      <w:lvlText w:val="%1."/>
      <w:lvlJc w:val="left"/>
      <w:pPr>
        <w:ind w:left="360" w:hanging="360"/>
      </w:pPr>
      <w:rPr>
        <w:rFonts w:hint="default"/>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914482"/>
    <w:multiLevelType w:val="hybridMultilevel"/>
    <w:tmpl w:val="F808FDB0"/>
    <w:lvl w:ilvl="0" w:tplc="84A084C2">
      <w:start w:val="1"/>
      <w:numFmt w:val="decimal"/>
      <w:lvlText w:val="%1."/>
      <w:lvlJc w:val="left"/>
      <w:pPr>
        <w:ind w:left="360" w:hanging="360"/>
      </w:pPr>
      <w:rPr>
        <w:rFonts w:hint="default"/>
        <w:b/>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CFC1E8A"/>
    <w:multiLevelType w:val="hybridMultilevel"/>
    <w:tmpl w:val="AE487DC4"/>
    <w:lvl w:ilvl="0" w:tplc="A8289DAE">
      <w:start w:val="6"/>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51A1DAB"/>
    <w:multiLevelType w:val="hybridMultilevel"/>
    <w:tmpl w:val="D1CAB376"/>
    <w:lvl w:ilvl="0" w:tplc="4826690E">
      <w:start w:val="18"/>
      <w:numFmt w:val="decimal"/>
      <w:lvlText w:val="%1."/>
      <w:lvlJc w:val="left"/>
      <w:pPr>
        <w:ind w:left="360" w:hanging="360"/>
      </w:pPr>
      <w:rPr>
        <w:rFonts w:hint="default"/>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54462A2"/>
    <w:multiLevelType w:val="hybridMultilevel"/>
    <w:tmpl w:val="43BAAFE8"/>
    <w:lvl w:ilvl="0" w:tplc="8804787A">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6734FED"/>
    <w:multiLevelType w:val="hybridMultilevel"/>
    <w:tmpl w:val="2900450C"/>
    <w:lvl w:ilvl="0" w:tplc="99748B9E">
      <w:start w:val="3"/>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520BE8"/>
    <w:multiLevelType w:val="hybridMultilevel"/>
    <w:tmpl w:val="F0FE08F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5ED61451"/>
    <w:multiLevelType w:val="hybridMultilevel"/>
    <w:tmpl w:val="4FFA7C2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6A755F88"/>
    <w:multiLevelType w:val="hybridMultilevel"/>
    <w:tmpl w:val="5C1647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6264A7"/>
    <w:multiLevelType w:val="hybridMultilevel"/>
    <w:tmpl w:val="3DECE38C"/>
    <w:lvl w:ilvl="0" w:tplc="736EA128">
      <w:start w:val="8"/>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DC65CC0"/>
    <w:multiLevelType w:val="hybridMultilevel"/>
    <w:tmpl w:val="388EF8C0"/>
    <w:lvl w:ilvl="0" w:tplc="85AA3D20">
      <w:start w:val="1"/>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7F4726A3"/>
    <w:multiLevelType w:val="hybridMultilevel"/>
    <w:tmpl w:val="EF0401A0"/>
    <w:lvl w:ilvl="0" w:tplc="E9C4A93C">
      <w:start w:val="5"/>
      <w:numFmt w:val="decimal"/>
      <w:lvlText w:val="%1."/>
      <w:lvlJc w:val="left"/>
      <w:pPr>
        <w:ind w:left="360" w:hanging="360"/>
      </w:pPr>
      <w:rPr>
        <w:rFonts w:hint="default"/>
        <w:b/>
        <w:color w:val="auto"/>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2"/>
  </w:num>
  <w:num w:numId="3">
    <w:abstractNumId w:val="13"/>
  </w:num>
  <w:num w:numId="4">
    <w:abstractNumId w:val="17"/>
  </w:num>
  <w:num w:numId="5">
    <w:abstractNumId w:val="7"/>
  </w:num>
  <w:num w:numId="6">
    <w:abstractNumId w:val="0"/>
  </w:num>
  <w:num w:numId="7">
    <w:abstractNumId w:val="9"/>
  </w:num>
  <w:num w:numId="8">
    <w:abstractNumId w:val="10"/>
  </w:num>
  <w:num w:numId="9">
    <w:abstractNumId w:val="19"/>
  </w:num>
  <w:num w:numId="10">
    <w:abstractNumId w:val="16"/>
  </w:num>
  <w:num w:numId="11">
    <w:abstractNumId w:val="15"/>
  </w:num>
  <w:num w:numId="12">
    <w:abstractNumId w:val="12"/>
  </w:num>
  <w:num w:numId="13">
    <w:abstractNumId w:val="1"/>
  </w:num>
  <w:num w:numId="14">
    <w:abstractNumId w:val="5"/>
  </w:num>
  <w:num w:numId="15">
    <w:abstractNumId w:val="14"/>
  </w:num>
  <w:num w:numId="16">
    <w:abstractNumId w:val="6"/>
  </w:num>
  <w:num w:numId="17">
    <w:abstractNumId w:val="20"/>
  </w:num>
  <w:num w:numId="18">
    <w:abstractNumId w:val="11"/>
  </w:num>
  <w:num w:numId="19">
    <w:abstractNumId w:val="4"/>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09"/>
    <w:rsid w:val="00083439"/>
    <w:rsid w:val="000E3BE6"/>
    <w:rsid w:val="001C3057"/>
    <w:rsid w:val="001D3DAE"/>
    <w:rsid w:val="002B702E"/>
    <w:rsid w:val="002F7CE6"/>
    <w:rsid w:val="0040268B"/>
    <w:rsid w:val="00432B34"/>
    <w:rsid w:val="00555988"/>
    <w:rsid w:val="005B6F79"/>
    <w:rsid w:val="00631D10"/>
    <w:rsid w:val="00711CA1"/>
    <w:rsid w:val="007F6A40"/>
    <w:rsid w:val="00816DC8"/>
    <w:rsid w:val="00843550"/>
    <w:rsid w:val="008536F8"/>
    <w:rsid w:val="008D6BA5"/>
    <w:rsid w:val="008F22E1"/>
    <w:rsid w:val="00907C57"/>
    <w:rsid w:val="00997527"/>
    <w:rsid w:val="009F5809"/>
    <w:rsid w:val="00A41459"/>
    <w:rsid w:val="00A56135"/>
    <w:rsid w:val="00AC3728"/>
    <w:rsid w:val="00B97BB7"/>
    <w:rsid w:val="00BE127C"/>
    <w:rsid w:val="00C01D17"/>
    <w:rsid w:val="00CD731B"/>
    <w:rsid w:val="00CE345D"/>
    <w:rsid w:val="00D62BD4"/>
    <w:rsid w:val="00EE2E61"/>
    <w:rsid w:val="00F0018F"/>
    <w:rsid w:val="00F345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FAF69"/>
  <w15:chartTrackingRefBased/>
  <w15:docId w15:val="{5D3457A4-4AA7-4061-88BA-F4DFBF2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752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9752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99752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3">
    <w:name w:val="Grid Table 4 Accent 3"/>
    <w:basedOn w:val="Tablanormal"/>
    <w:uiPriority w:val="49"/>
    <w:rsid w:val="009975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A56135"/>
    <w:pPr>
      <w:ind w:left="720"/>
      <w:contextualSpacing/>
    </w:pPr>
  </w:style>
  <w:style w:type="character" w:styleId="nfasissutil">
    <w:name w:val="Subtle Emphasis"/>
    <w:basedOn w:val="Fuentedeprrafopredeter"/>
    <w:uiPriority w:val="19"/>
    <w:qFormat/>
    <w:rsid w:val="000E3BE6"/>
    <w:rPr>
      <w:i/>
      <w:iCs/>
      <w:color w:val="404040" w:themeColor="text1" w:themeTint="BF"/>
    </w:rPr>
  </w:style>
  <w:style w:type="paragraph" w:styleId="Encabezado">
    <w:name w:val="header"/>
    <w:basedOn w:val="Normal"/>
    <w:link w:val="EncabezadoCar"/>
    <w:uiPriority w:val="99"/>
    <w:unhideWhenUsed/>
    <w:rsid w:val="00432B3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B34"/>
  </w:style>
  <w:style w:type="paragraph" w:styleId="Piedepgina">
    <w:name w:val="footer"/>
    <w:basedOn w:val="Normal"/>
    <w:link w:val="PiedepginaCar"/>
    <w:uiPriority w:val="99"/>
    <w:unhideWhenUsed/>
    <w:rsid w:val="00432B3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B34"/>
  </w:style>
  <w:style w:type="character" w:styleId="Textoennegrita">
    <w:name w:val="Strong"/>
    <w:basedOn w:val="Fuentedeprrafopredeter"/>
    <w:uiPriority w:val="22"/>
    <w:qFormat/>
    <w:rsid w:val="00432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71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consultoría</dc:creator>
  <cp:keywords/>
  <dc:description/>
  <cp:lastModifiedBy>roberto consultoría</cp:lastModifiedBy>
  <cp:revision>8</cp:revision>
  <dcterms:created xsi:type="dcterms:W3CDTF">2016-06-20T15:39:00Z</dcterms:created>
  <dcterms:modified xsi:type="dcterms:W3CDTF">2016-06-27T01:48:00Z</dcterms:modified>
</cp:coreProperties>
</file>