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119" w:rsidRDefault="001A1119" w:rsidP="001A10ED">
      <w:pPr>
        <w:jc w:val="center"/>
        <w:rPr>
          <w:rFonts w:ascii="Arial" w:eastAsia="Times New Roman" w:hAnsi="Arial" w:cs="Arial"/>
          <w:b/>
          <w:bCs/>
          <w:color w:val="222222"/>
          <w:sz w:val="40"/>
          <w:szCs w:val="40"/>
          <w:lang w:eastAsia="es-MX"/>
        </w:rPr>
      </w:pPr>
    </w:p>
    <w:p w:rsidR="001A10ED" w:rsidRDefault="001A10ED" w:rsidP="001A10ED">
      <w:pPr>
        <w:jc w:val="center"/>
        <w:rPr>
          <w:rFonts w:ascii="Arial" w:eastAsia="Times New Roman" w:hAnsi="Arial" w:cs="Arial"/>
          <w:b/>
          <w:bCs/>
          <w:color w:val="222222"/>
          <w:sz w:val="40"/>
          <w:szCs w:val="40"/>
          <w:lang w:eastAsia="es-MX"/>
        </w:rPr>
      </w:pPr>
      <w:r w:rsidRPr="001A1119">
        <w:rPr>
          <w:rFonts w:ascii="Arial" w:eastAsia="Times New Roman" w:hAnsi="Arial" w:cs="Arial"/>
          <w:b/>
          <w:bCs/>
          <w:color w:val="222222"/>
          <w:sz w:val="40"/>
          <w:szCs w:val="40"/>
          <w:lang w:eastAsia="es-MX"/>
        </w:rPr>
        <w:t>INSTITUTO DE ADMINISTRACIÓN PUBLICA DEL ESTADO DE CHIAPAS, A.C.</w:t>
      </w:r>
    </w:p>
    <w:p w:rsidR="001A1119" w:rsidRDefault="001A1119" w:rsidP="001A10ED">
      <w:pPr>
        <w:jc w:val="center"/>
        <w:rPr>
          <w:rFonts w:ascii="Arial" w:eastAsia="Times New Roman" w:hAnsi="Arial" w:cs="Arial"/>
          <w:b/>
          <w:bCs/>
          <w:color w:val="222222"/>
          <w:sz w:val="40"/>
          <w:szCs w:val="40"/>
          <w:lang w:eastAsia="es-MX"/>
        </w:rPr>
      </w:pPr>
    </w:p>
    <w:p w:rsidR="001A1119" w:rsidRPr="001A1119" w:rsidRDefault="001A1119" w:rsidP="001A10ED">
      <w:pPr>
        <w:jc w:val="center"/>
        <w:rPr>
          <w:rFonts w:ascii="Arial" w:eastAsia="Times New Roman" w:hAnsi="Arial" w:cs="Arial"/>
          <w:b/>
          <w:bCs/>
          <w:color w:val="222222"/>
          <w:sz w:val="40"/>
          <w:szCs w:val="40"/>
          <w:lang w:eastAsia="es-MX"/>
        </w:rPr>
      </w:pPr>
      <w:r>
        <w:rPr>
          <w:rFonts w:ascii="Arial" w:eastAsia="Times New Roman" w:hAnsi="Arial" w:cs="Arial"/>
          <w:b/>
          <w:bCs/>
          <w:color w:val="222222"/>
          <w:sz w:val="40"/>
          <w:szCs w:val="40"/>
          <w:lang w:eastAsia="es-MX"/>
        </w:rPr>
        <w:t>Maestría en Administración y Políticas Públicas</w:t>
      </w:r>
    </w:p>
    <w:p w:rsidR="001A10ED" w:rsidRDefault="001A10ED" w:rsidP="001A10ED">
      <w:pPr>
        <w:jc w:val="center"/>
        <w:rPr>
          <w:rFonts w:ascii="Arial" w:eastAsia="Times New Roman" w:hAnsi="Arial" w:cs="Arial"/>
          <w:b/>
          <w:bCs/>
          <w:color w:val="222222"/>
          <w:sz w:val="36"/>
          <w:szCs w:val="36"/>
          <w:lang w:eastAsia="es-MX"/>
        </w:rPr>
      </w:pPr>
    </w:p>
    <w:p w:rsidR="001A1119" w:rsidRDefault="001A1119" w:rsidP="001A10ED">
      <w:pPr>
        <w:jc w:val="center"/>
        <w:rPr>
          <w:rFonts w:ascii="Arial" w:eastAsia="Times New Roman" w:hAnsi="Arial" w:cs="Arial"/>
          <w:b/>
          <w:bCs/>
          <w:color w:val="222222"/>
          <w:sz w:val="36"/>
          <w:szCs w:val="36"/>
          <w:lang w:eastAsia="es-MX"/>
        </w:rPr>
      </w:pPr>
    </w:p>
    <w:p w:rsidR="001A10ED" w:rsidRDefault="006E0E7E" w:rsidP="006E0E7E">
      <w:pPr>
        <w:rPr>
          <w:lang w:eastAsia="es-MX"/>
        </w:rPr>
      </w:pPr>
      <w:r>
        <w:rPr>
          <w:lang w:eastAsia="es-MX"/>
        </w:rPr>
        <w:t xml:space="preserve"> </w:t>
      </w:r>
    </w:p>
    <w:p w:rsidR="006E0E7E" w:rsidRDefault="001A1119" w:rsidP="001A1119">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Evaluación e Impacto de Políticas Públicas</w:t>
      </w:r>
    </w:p>
    <w:p w:rsidR="00852E05" w:rsidRDefault="00852E05" w:rsidP="00C62E2F">
      <w:pPr>
        <w:rPr>
          <w:rFonts w:ascii="Arial" w:eastAsia="Times New Roman" w:hAnsi="Arial" w:cs="Arial"/>
          <w:b/>
          <w:bCs/>
          <w:color w:val="222222"/>
          <w:sz w:val="36"/>
          <w:szCs w:val="36"/>
          <w:lang w:eastAsia="es-MX"/>
        </w:rPr>
      </w:pPr>
    </w:p>
    <w:p w:rsidR="00852E05" w:rsidRDefault="0033656E"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Monitoreo y evaluación de políticas, programas y proyectos sociales.</w:t>
      </w:r>
    </w:p>
    <w:p w:rsidR="00134563" w:rsidRPr="00134563" w:rsidRDefault="0033656E" w:rsidP="001A10ED">
      <w:pPr>
        <w:jc w:val="center"/>
        <w:rPr>
          <w:rFonts w:ascii="Arial" w:eastAsia="Times New Roman" w:hAnsi="Arial" w:cs="Arial"/>
          <w:b/>
          <w:bCs/>
          <w:i/>
          <w:color w:val="222222"/>
          <w:sz w:val="32"/>
          <w:szCs w:val="32"/>
          <w:lang w:eastAsia="es-MX"/>
        </w:rPr>
      </w:pPr>
      <w:r>
        <w:rPr>
          <w:rFonts w:ascii="Arial" w:eastAsia="Times New Roman" w:hAnsi="Arial" w:cs="Arial"/>
          <w:b/>
          <w:bCs/>
          <w:i/>
          <w:color w:val="222222"/>
          <w:sz w:val="32"/>
          <w:szCs w:val="32"/>
          <w:lang w:eastAsia="es-MX"/>
        </w:rPr>
        <w:t>María Mercedes Di Virgilio</w:t>
      </w:r>
    </w:p>
    <w:p w:rsidR="001A10ED" w:rsidRDefault="001A10ED" w:rsidP="001A10ED">
      <w:pPr>
        <w:jc w:val="center"/>
        <w:rPr>
          <w:rFonts w:ascii="Arial" w:eastAsia="Times New Roman" w:hAnsi="Arial" w:cs="Arial"/>
          <w:b/>
          <w:bCs/>
          <w:color w:val="222222"/>
          <w:sz w:val="36"/>
          <w:szCs w:val="36"/>
          <w:lang w:eastAsia="es-MX"/>
        </w:rPr>
      </w:pPr>
    </w:p>
    <w:p w:rsidR="001A1119" w:rsidRDefault="001A1119" w:rsidP="001A10ED">
      <w:pPr>
        <w:jc w:val="center"/>
        <w:rPr>
          <w:rFonts w:ascii="Arial" w:eastAsia="Times New Roman" w:hAnsi="Arial" w:cs="Arial"/>
          <w:b/>
          <w:bCs/>
          <w:color w:val="222222"/>
          <w:sz w:val="36"/>
          <w:szCs w:val="36"/>
          <w:lang w:eastAsia="es-MX"/>
        </w:rPr>
      </w:pPr>
    </w:p>
    <w:p w:rsidR="00F27A8E" w:rsidRDefault="00F27A8E" w:rsidP="001A10ED">
      <w:pPr>
        <w:jc w:val="center"/>
        <w:rPr>
          <w:rFonts w:ascii="Arial" w:eastAsia="Times New Roman" w:hAnsi="Arial" w:cs="Arial"/>
          <w:b/>
          <w:bCs/>
          <w:color w:val="222222"/>
          <w:sz w:val="36"/>
          <w:szCs w:val="36"/>
          <w:lang w:eastAsia="es-MX"/>
        </w:rPr>
      </w:pPr>
    </w:p>
    <w:p w:rsidR="001A10ED" w:rsidRDefault="001A1119"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Dra. Hilda María Jiménez Acevedo</w:t>
      </w:r>
    </w:p>
    <w:p w:rsidR="001A1119" w:rsidRDefault="001A1119" w:rsidP="001A10ED">
      <w:pPr>
        <w:jc w:val="center"/>
        <w:rPr>
          <w:rFonts w:ascii="Arial" w:eastAsia="Times New Roman" w:hAnsi="Arial" w:cs="Arial"/>
          <w:b/>
          <w:bCs/>
          <w:color w:val="222222"/>
          <w:sz w:val="32"/>
          <w:szCs w:val="36"/>
          <w:lang w:eastAsia="es-MX"/>
        </w:rPr>
      </w:pPr>
    </w:p>
    <w:p w:rsidR="0033656E" w:rsidRDefault="001A1119" w:rsidP="001A10ED">
      <w:pPr>
        <w:jc w:val="center"/>
        <w:rPr>
          <w:rFonts w:ascii="Arial" w:eastAsia="Times New Roman" w:hAnsi="Arial" w:cs="Arial"/>
          <w:b/>
          <w:bCs/>
          <w:color w:val="222222"/>
          <w:sz w:val="32"/>
          <w:szCs w:val="36"/>
          <w:lang w:eastAsia="es-MX"/>
        </w:rPr>
      </w:pPr>
      <w:r w:rsidRPr="00C62E2F">
        <w:rPr>
          <w:rFonts w:ascii="Arial" w:eastAsia="Times New Roman" w:hAnsi="Arial" w:cs="Arial"/>
          <w:b/>
          <w:bCs/>
          <w:color w:val="222222"/>
          <w:sz w:val="32"/>
          <w:szCs w:val="36"/>
          <w:lang w:eastAsia="es-MX"/>
        </w:rPr>
        <w:t>Sandra Luz Carvajal Magaña</w:t>
      </w:r>
    </w:p>
    <w:p w:rsidR="0033656E" w:rsidRPr="00E175A3" w:rsidRDefault="0033656E" w:rsidP="00E175A3">
      <w:pPr>
        <w:jc w:val="center"/>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Mayo 28</w:t>
      </w:r>
      <w:r w:rsidR="00E175A3">
        <w:rPr>
          <w:rFonts w:ascii="Arial" w:eastAsia="Times New Roman" w:hAnsi="Arial" w:cs="Arial"/>
          <w:bCs/>
          <w:color w:val="222222"/>
          <w:sz w:val="24"/>
          <w:szCs w:val="24"/>
          <w:lang w:eastAsia="es-MX"/>
        </w:rPr>
        <w:t>, 2016</w:t>
      </w:r>
    </w:p>
    <w:p w:rsidR="0033656E" w:rsidRDefault="0033656E" w:rsidP="0033656E">
      <w:pPr>
        <w:jc w:val="center"/>
        <w:rPr>
          <w:rFonts w:ascii="Arial" w:eastAsia="Times New Roman" w:hAnsi="Arial" w:cs="Arial"/>
          <w:b/>
          <w:bCs/>
          <w:color w:val="222222"/>
          <w:sz w:val="32"/>
          <w:szCs w:val="32"/>
          <w:lang w:eastAsia="es-MX"/>
        </w:rPr>
      </w:pPr>
    </w:p>
    <w:p w:rsidR="00FA2115" w:rsidRDefault="00D90401" w:rsidP="002252A4">
      <w:pPr>
        <w:spacing w:line="360" w:lineRule="auto"/>
        <w:jc w:val="both"/>
        <w:rPr>
          <w:rFonts w:ascii="Arial" w:hAnsi="Arial" w:cs="Arial"/>
          <w:b/>
          <w:color w:val="222222"/>
          <w:sz w:val="24"/>
          <w:szCs w:val="24"/>
        </w:rPr>
      </w:pPr>
      <w:r>
        <w:rPr>
          <w:rFonts w:ascii="Arial" w:hAnsi="Arial" w:cs="Arial"/>
          <w:b/>
          <w:color w:val="222222"/>
          <w:sz w:val="24"/>
          <w:szCs w:val="24"/>
        </w:rPr>
        <w:t>E</w:t>
      </w:r>
      <w:r w:rsidR="00702B57">
        <w:rPr>
          <w:rFonts w:ascii="Arial" w:hAnsi="Arial" w:cs="Arial"/>
          <w:b/>
          <w:color w:val="222222"/>
          <w:sz w:val="24"/>
          <w:szCs w:val="24"/>
        </w:rPr>
        <w:t xml:space="preserve">valuación y </w:t>
      </w:r>
      <w:r w:rsidR="0033656E">
        <w:rPr>
          <w:rFonts w:ascii="Arial" w:hAnsi="Arial" w:cs="Arial"/>
          <w:b/>
          <w:color w:val="222222"/>
          <w:sz w:val="24"/>
          <w:szCs w:val="24"/>
        </w:rPr>
        <w:t xml:space="preserve">monitoreo </w:t>
      </w:r>
      <w:r>
        <w:rPr>
          <w:rFonts w:ascii="Arial" w:hAnsi="Arial" w:cs="Arial"/>
          <w:b/>
          <w:color w:val="222222"/>
          <w:sz w:val="24"/>
          <w:szCs w:val="24"/>
        </w:rPr>
        <w:t>de las 3P: Polí</w:t>
      </w:r>
      <w:bookmarkStart w:id="0" w:name="_GoBack"/>
      <w:bookmarkEnd w:id="0"/>
      <w:r>
        <w:rPr>
          <w:rFonts w:ascii="Arial" w:hAnsi="Arial" w:cs="Arial"/>
          <w:b/>
          <w:color w:val="222222"/>
          <w:sz w:val="24"/>
          <w:szCs w:val="24"/>
        </w:rPr>
        <w:t>ticas, programas y proyectos sociales.</w:t>
      </w:r>
    </w:p>
    <w:p w:rsidR="00E175A3" w:rsidRDefault="00E175A3" w:rsidP="002252A4">
      <w:pPr>
        <w:spacing w:line="360" w:lineRule="auto"/>
        <w:jc w:val="both"/>
        <w:rPr>
          <w:rFonts w:ascii="Arial" w:hAnsi="Arial" w:cs="Arial"/>
          <w:b/>
          <w:color w:val="222222"/>
          <w:sz w:val="24"/>
          <w:szCs w:val="24"/>
        </w:rPr>
      </w:pPr>
    </w:p>
    <w:p w:rsidR="00D90401" w:rsidRDefault="00E175A3" w:rsidP="002252A4">
      <w:pPr>
        <w:spacing w:line="360" w:lineRule="auto"/>
        <w:jc w:val="both"/>
        <w:rPr>
          <w:rFonts w:ascii="Arial" w:hAnsi="Arial" w:cs="Arial"/>
          <w:b/>
          <w:color w:val="222222"/>
          <w:sz w:val="24"/>
          <w:szCs w:val="24"/>
        </w:rPr>
      </w:pPr>
      <w:r>
        <w:rPr>
          <w:rFonts w:ascii="Arial" w:hAnsi="Arial" w:cs="Arial"/>
          <w:b/>
          <w:color w:val="222222"/>
          <w:sz w:val="24"/>
          <w:szCs w:val="24"/>
        </w:rPr>
        <w:t>Introducción</w:t>
      </w:r>
    </w:p>
    <w:p w:rsidR="00D90401" w:rsidRDefault="00D90401" w:rsidP="002252A4">
      <w:pPr>
        <w:spacing w:line="360" w:lineRule="auto"/>
        <w:jc w:val="both"/>
        <w:rPr>
          <w:rFonts w:ascii="Arial" w:hAnsi="Arial" w:cs="Arial"/>
          <w:color w:val="222222"/>
          <w:sz w:val="24"/>
          <w:szCs w:val="24"/>
        </w:rPr>
      </w:pPr>
      <w:r w:rsidRPr="00D90401">
        <w:rPr>
          <w:rFonts w:ascii="Arial" w:hAnsi="Arial" w:cs="Arial"/>
          <w:color w:val="222222"/>
          <w:sz w:val="24"/>
          <w:szCs w:val="24"/>
        </w:rPr>
        <w:t>La evaluación no debe ser entendida como un proceso aislado. Muy por el contrario, es a la vez un insumo para orientar la acción y un proceso permanente de aprendizaje y mejora que acompaña toda la vida de una política social. En otras palabras, es una herramienta para la toma de decisiones</w:t>
      </w:r>
    </w:p>
    <w:p w:rsidR="00D90401" w:rsidRDefault="00D90401" w:rsidP="002252A4">
      <w:pPr>
        <w:spacing w:line="360" w:lineRule="auto"/>
        <w:jc w:val="both"/>
        <w:rPr>
          <w:rFonts w:ascii="Arial" w:hAnsi="Arial" w:cs="Arial"/>
          <w:color w:val="222222"/>
          <w:sz w:val="24"/>
          <w:szCs w:val="24"/>
        </w:rPr>
      </w:pPr>
      <w:r w:rsidRPr="00D90401">
        <w:rPr>
          <w:rFonts w:ascii="Arial" w:hAnsi="Arial" w:cs="Arial"/>
          <w:color w:val="222222"/>
          <w:sz w:val="24"/>
          <w:szCs w:val="24"/>
        </w:rPr>
        <w:t>El monitoreo es el seguimiento que se realiza durante la ejecución de una política, programa o proyecto. Es un instrumento, de gestión y de política, que permite revisar en forma periódica los aspectos sustantivos de las 3 P, para optimizar sus procesos, resultados e impactos. Constituye un insumo indispensable para la gestión administrativa y estratégica de una iniciativa pública</w:t>
      </w:r>
    </w:p>
    <w:p w:rsidR="00D90401" w:rsidRDefault="00D90401" w:rsidP="002252A4">
      <w:pPr>
        <w:spacing w:line="360" w:lineRule="auto"/>
        <w:jc w:val="both"/>
        <w:rPr>
          <w:rFonts w:ascii="Arial" w:hAnsi="Arial" w:cs="Arial"/>
          <w:color w:val="222222"/>
          <w:sz w:val="24"/>
          <w:szCs w:val="24"/>
        </w:rPr>
      </w:pPr>
    </w:p>
    <w:p w:rsidR="009E366A" w:rsidRDefault="009E366A" w:rsidP="002252A4">
      <w:pPr>
        <w:spacing w:line="360" w:lineRule="auto"/>
        <w:jc w:val="both"/>
        <w:rPr>
          <w:rFonts w:ascii="Arial" w:hAnsi="Arial" w:cs="Arial"/>
          <w:b/>
          <w:color w:val="222222"/>
          <w:sz w:val="24"/>
          <w:szCs w:val="24"/>
        </w:rPr>
      </w:pPr>
      <w:r w:rsidRPr="009E366A">
        <w:rPr>
          <w:rFonts w:ascii="Arial" w:hAnsi="Arial" w:cs="Arial"/>
          <w:b/>
          <w:color w:val="222222"/>
          <w:sz w:val="24"/>
          <w:szCs w:val="24"/>
        </w:rPr>
        <w:t>El monitoreo, un instrumento para la toma de decisiones</w:t>
      </w:r>
    </w:p>
    <w:p w:rsidR="00E44603" w:rsidRPr="00E44603" w:rsidRDefault="00E44603" w:rsidP="00E44603">
      <w:pPr>
        <w:spacing w:line="360" w:lineRule="auto"/>
        <w:jc w:val="both"/>
        <w:rPr>
          <w:rFonts w:ascii="Arial" w:hAnsi="Arial" w:cs="Arial"/>
          <w:color w:val="222222"/>
          <w:sz w:val="24"/>
          <w:szCs w:val="24"/>
        </w:rPr>
      </w:pPr>
      <w:r w:rsidRPr="00E44603">
        <w:rPr>
          <w:rFonts w:ascii="Arial" w:hAnsi="Arial" w:cs="Arial"/>
          <w:color w:val="222222"/>
          <w:sz w:val="24"/>
          <w:szCs w:val="24"/>
        </w:rPr>
        <w:t>El plan de monitoreo y evaluación (M&amp;E) forma parte de la planificación de una política, programa o proyecto que debe adecuarse a las características del destinatario de la información que se producirá y a los indicadores e instrumentos que se utilizarán para su recolección, registro y procesamiento.</w:t>
      </w:r>
    </w:p>
    <w:p w:rsidR="00E44603" w:rsidRPr="00E44603" w:rsidRDefault="00E44603" w:rsidP="00E44603">
      <w:pPr>
        <w:spacing w:line="360" w:lineRule="auto"/>
        <w:jc w:val="both"/>
        <w:rPr>
          <w:rFonts w:ascii="Arial" w:hAnsi="Arial" w:cs="Arial"/>
          <w:color w:val="222222"/>
          <w:sz w:val="24"/>
          <w:szCs w:val="24"/>
        </w:rPr>
      </w:pPr>
      <w:r w:rsidRPr="00E44603">
        <w:rPr>
          <w:rFonts w:ascii="Arial" w:hAnsi="Arial" w:cs="Arial"/>
          <w:color w:val="222222"/>
          <w:sz w:val="24"/>
          <w:szCs w:val="24"/>
        </w:rPr>
        <w:t xml:space="preserve">Durante el monitoreo se recolecta información sobre: </w:t>
      </w:r>
    </w:p>
    <w:p w:rsidR="00E44603" w:rsidRDefault="00E44603" w:rsidP="00E44603">
      <w:pPr>
        <w:pStyle w:val="Prrafodelista"/>
        <w:numPr>
          <w:ilvl w:val="0"/>
          <w:numId w:val="10"/>
        </w:numPr>
        <w:spacing w:line="360" w:lineRule="auto"/>
        <w:jc w:val="both"/>
        <w:rPr>
          <w:rFonts w:ascii="Arial" w:hAnsi="Arial" w:cs="Arial"/>
          <w:color w:val="222222"/>
          <w:sz w:val="24"/>
          <w:szCs w:val="24"/>
        </w:rPr>
      </w:pPr>
      <w:r w:rsidRPr="00E44603">
        <w:rPr>
          <w:rFonts w:ascii="Arial" w:hAnsi="Arial" w:cs="Arial"/>
          <w:color w:val="222222"/>
          <w:sz w:val="24"/>
          <w:szCs w:val="24"/>
        </w:rPr>
        <w:t>La ejecución de las actividades planificadas, para apoyar la gestión cotidiana de lo</w:t>
      </w:r>
      <w:r>
        <w:rPr>
          <w:rFonts w:ascii="Arial" w:hAnsi="Arial" w:cs="Arial"/>
          <w:color w:val="222222"/>
          <w:sz w:val="24"/>
          <w:szCs w:val="24"/>
        </w:rPr>
        <w:t xml:space="preserve">s proyectos sobre el terreno. </w:t>
      </w:r>
    </w:p>
    <w:p w:rsidR="00E44603" w:rsidRDefault="00E44603" w:rsidP="00E44603">
      <w:pPr>
        <w:pStyle w:val="Prrafodelista"/>
        <w:numPr>
          <w:ilvl w:val="0"/>
          <w:numId w:val="10"/>
        </w:numPr>
        <w:spacing w:line="360" w:lineRule="auto"/>
        <w:jc w:val="both"/>
        <w:rPr>
          <w:rFonts w:ascii="Arial" w:hAnsi="Arial" w:cs="Arial"/>
          <w:color w:val="222222"/>
          <w:sz w:val="24"/>
          <w:szCs w:val="24"/>
        </w:rPr>
      </w:pPr>
      <w:r w:rsidRPr="00E44603">
        <w:rPr>
          <w:rFonts w:ascii="Arial" w:hAnsi="Arial" w:cs="Arial"/>
          <w:color w:val="222222"/>
          <w:sz w:val="24"/>
          <w:szCs w:val="24"/>
        </w:rPr>
        <w:t xml:space="preserve">Los resultados conseguidos a través de la realización de las actividades y la respuesta de los/las titulares, para comprobar los avances </w:t>
      </w:r>
      <w:r>
        <w:rPr>
          <w:rFonts w:ascii="Arial" w:hAnsi="Arial" w:cs="Arial"/>
          <w:color w:val="222222"/>
          <w:sz w:val="24"/>
          <w:szCs w:val="24"/>
        </w:rPr>
        <w:t xml:space="preserve">y revisar el plan de trabajo. </w:t>
      </w:r>
    </w:p>
    <w:p w:rsidR="009E366A" w:rsidRPr="00E44603" w:rsidRDefault="00E44603" w:rsidP="00E44603">
      <w:pPr>
        <w:pStyle w:val="Prrafodelista"/>
        <w:numPr>
          <w:ilvl w:val="0"/>
          <w:numId w:val="10"/>
        </w:numPr>
        <w:spacing w:line="360" w:lineRule="auto"/>
        <w:jc w:val="both"/>
        <w:rPr>
          <w:rFonts w:ascii="Arial" w:hAnsi="Arial" w:cs="Arial"/>
          <w:color w:val="222222"/>
          <w:sz w:val="24"/>
          <w:szCs w:val="24"/>
        </w:rPr>
      </w:pPr>
      <w:r w:rsidRPr="00E44603">
        <w:rPr>
          <w:rFonts w:ascii="Arial" w:hAnsi="Arial" w:cs="Arial"/>
          <w:color w:val="222222"/>
          <w:sz w:val="24"/>
          <w:szCs w:val="24"/>
        </w:rPr>
        <w:lastRenderedPageBreak/>
        <w:t>La consecución de los objetivos del programa y sus impactos para revisar la lógica de intervención y la resolución de problemas</w:t>
      </w:r>
    </w:p>
    <w:p w:rsidR="009E366A" w:rsidRDefault="00E44603" w:rsidP="002252A4">
      <w:pPr>
        <w:spacing w:line="360" w:lineRule="auto"/>
        <w:jc w:val="both"/>
        <w:rPr>
          <w:rFonts w:ascii="Arial" w:hAnsi="Arial" w:cs="Arial"/>
          <w:color w:val="222222"/>
          <w:sz w:val="24"/>
          <w:szCs w:val="24"/>
        </w:rPr>
      </w:pPr>
      <w:r w:rsidRPr="00E44603">
        <w:rPr>
          <w:rFonts w:ascii="Arial" w:hAnsi="Arial" w:cs="Arial"/>
          <w:color w:val="222222"/>
          <w:sz w:val="24"/>
          <w:szCs w:val="24"/>
        </w:rPr>
        <w:t>Sin una correcta definición de los indicadores, se dificulta la recolección de datos y disminuye la posibilidad de monitorear o evaluar en forma adecuada la relación entre lo previsto y lo realizado.</w:t>
      </w:r>
    </w:p>
    <w:p w:rsidR="00E44603" w:rsidRDefault="00E44603" w:rsidP="002252A4">
      <w:pPr>
        <w:spacing w:line="360" w:lineRule="auto"/>
        <w:jc w:val="both"/>
        <w:rPr>
          <w:rFonts w:ascii="Arial" w:hAnsi="Arial" w:cs="Arial"/>
          <w:color w:val="222222"/>
          <w:sz w:val="24"/>
          <w:szCs w:val="24"/>
        </w:rPr>
      </w:pPr>
    </w:p>
    <w:p w:rsidR="007846BC" w:rsidRDefault="007846BC" w:rsidP="002252A4">
      <w:pPr>
        <w:spacing w:line="360" w:lineRule="auto"/>
        <w:jc w:val="both"/>
        <w:rPr>
          <w:rFonts w:ascii="Arial" w:hAnsi="Arial" w:cs="Arial"/>
          <w:b/>
          <w:color w:val="222222"/>
          <w:sz w:val="24"/>
          <w:szCs w:val="24"/>
        </w:rPr>
      </w:pPr>
      <w:r>
        <w:rPr>
          <w:rFonts w:ascii="Arial" w:hAnsi="Arial" w:cs="Arial"/>
          <w:b/>
          <w:color w:val="222222"/>
          <w:sz w:val="24"/>
          <w:szCs w:val="24"/>
        </w:rPr>
        <w:t xml:space="preserve">Ventajas que </w:t>
      </w:r>
      <w:r w:rsidRPr="007846BC">
        <w:rPr>
          <w:rFonts w:ascii="Arial" w:hAnsi="Arial" w:cs="Arial"/>
          <w:b/>
          <w:color w:val="222222"/>
          <w:sz w:val="24"/>
          <w:szCs w:val="24"/>
        </w:rPr>
        <w:t xml:space="preserve">genera </w:t>
      </w:r>
      <w:r>
        <w:rPr>
          <w:rFonts w:ascii="Arial" w:hAnsi="Arial" w:cs="Arial"/>
          <w:b/>
          <w:color w:val="222222"/>
          <w:sz w:val="24"/>
          <w:szCs w:val="24"/>
        </w:rPr>
        <w:t xml:space="preserve">al </w:t>
      </w:r>
      <w:r w:rsidRPr="007846BC">
        <w:rPr>
          <w:rFonts w:ascii="Arial" w:hAnsi="Arial" w:cs="Arial"/>
          <w:b/>
          <w:color w:val="222222"/>
          <w:sz w:val="24"/>
          <w:szCs w:val="24"/>
        </w:rPr>
        <w:t>aplicar herramientas de monitoreo y evaluación desde el nivel municipal</w:t>
      </w:r>
    </w:p>
    <w:p w:rsidR="007846BC" w:rsidRDefault="00D313F2" w:rsidP="002252A4">
      <w:pPr>
        <w:spacing w:line="360" w:lineRule="auto"/>
        <w:jc w:val="both"/>
        <w:rPr>
          <w:rFonts w:ascii="Arial" w:hAnsi="Arial" w:cs="Arial"/>
          <w:color w:val="222222"/>
          <w:sz w:val="24"/>
          <w:szCs w:val="24"/>
        </w:rPr>
      </w:pPr>
      <w:r w:rsidRPr="00D313F2">
        <w:rPr>
          <w:rFonts w:ascii="Arial" w:hAnsi="Arial" w:cs="Arial"/>
          <w:color w:val="222222"/>
          <w:sz w:val="24"/>
          <w:szCs w:val="24"/>
        </w:rPr>
        <w:t>La puesta en marcha de un plan de M&amp;E contribuye a fortalecer las capacidades estatales, otorga transparencia, aumenta la legitimidad de la acción pública local y es fuente de aprendizaje y mejora permanente.</w:t>
      </w:r>
    </w:p>
    <w:p w:rsidR="00D313F2" w:rsidRDefault="00D313F2" w:rsidP="002252A4">
      <w:pPr>
        <w:spacing w:line="360" w:lineRule="auto"/>
        <w:jc w:val="both"/>
        <w:rPr>
          <w:rFonts w:ascii="Arial" w:hAnsi="Arial" w:cs="Arial"/>
          <w:color w:val="222222"/>
          <w:sz w:val="24"/>
          <w:szCs w:val="24"/>
        </w:rPr>
      </w:pPr>
    </w:p>
    <w:p w:rsidR="00D313F2" w:rsidRPr="00D313F2" w:rsidRDefault="00D313F2" w:rsidP="002252A4">
      <w:pPr>
        <w:spacing w:line="360" w:lineRule="auto"/>
        <w:jc w:val="both"/>
        <w:rPr>
          <w:rFonts w:ascii="Arial" w:hAnsi="Arial" w:cs="Arial"/>
          <w:b/>
          <w:color w:val="222222"/>
          <w:sz w:val="24"/>
          <w:szCs w:val="24"/>
        </w:rPr>
      </w:pPr>
      <w:r>
        <w:rPr>
          <w:rFonts w:ascii="Arial" w:hAnsi="Arial" w:cs="Arial"/>
          <w:b/>
          <w:color w:val="222222"/>
          <w:sz w:val="24"/>
          <w:szCs w:val="24"/>
        </w:rPr>
        <w:t>Monitoreo y evaluaciones; interna, externa, mixta y evaluación participativa.</w:t>
      </w:r>
    </w:p>
    <w:p w:rsidR="00D313F2" w:rsidRDefault="00D313F2" w:rsidP="00D313F2">
      <w:pPr>
        <w:jc w:val="both"/>
        <w:rPr>
          <w:rFonts w:ascii="Arial" w:hAnsi="Arial" w:cs="Arial"/>
          <w:color w:val="222222"/>
          <w:sz w:val="24"/>
          <w:szCs w:val="24"/>
        </w:rPr>
      </w:pPr>
      <w:r w:rsidRPr="00D313F2">
        <w:rPr>
          <w:rFonts w:ascii="Arial" w:hAnsi="Arial" w:cs="Arial"/>
          <w:color w:val="222222"/>
          <w:sz w:val="24"/>
          <w:szCs w:val="24"/>
        </w:rPr>
        <w:t>En tanto proceso de evaluación interna, el monitoreo suele estar a cargo de los miembros de la organización que implementa la política a evaluar. Esta evaluación puede ser realizada por actores no directamente vinculados a su ejecución o por actores directamente vinculados. En este último caso, los/as evaluadores/as serán también evaluados, por lo que la evaluación interna es también una autoevaluación.</w:t>
      </w:r>
    </w:p>
    <w:p w:rsidR="00D313F2" w:rsidRDefault="00D313F2" w:rsidP="00D313F2">
      <w:pPr>
        <w:jc w:val="both"/>
        <w:rPr>
          <w:rFonts w:ascii="Arial" w:hAnsi="Arial" w:cs="Arial"/>
          <w:color w:val="222222"/>
          <w:sz w:val="24"/>
          <w:szCs w:val="24"/>
        </w:rPr>
      </w:pPr>
      <w:r w:rsidRPr="00D313F2">
        <w:rPr>
          <w:rFonts w:ascii="Arial" w:hAnsi="Arial" w:cs="Arial"/>
          <w:color w:val="222222"/>
          <w:sz w:val="24"/>
          <w:szCs w:val="24"/>
        </w:rPr>
        <w:t>La evaluación externa es llevada a cabo por actores ajenos a la organización que implementa la política a evaluar. En general, se recurre a investigadores/as, consultores/as independientes, departamentos universitarios o expertos/as internacionales para que realicen estas evaluaciones. Cabe aclarar que la evaluación externa no es siempre deseada por los actores de la organización ejecutora, muchas veces parte de los requisitos de las agencias financiadoras</w:t>
      </w:r>
    </w:p>
    <w:p w:rsidR="00D313F2" w:rsidRDefault="00D313F2" w:rsidP="00D313F2">
      <w:pPr>
        <w:jc w:val="both"/>
        <w:rPr>
          <w:rFonts w:ascii="Arial" w:hAnsi="Arial" w:cs="Arial"/>
          <w:color w:val="222222"/>
          <w:sz w:val="24"/>
          <w:szCs w:val="24"/>
        </w:rPr>
      </w:pPr>
      <w:r w:rsidRPr="00D313F2">
        <w:rPr>
          <w:rFonts w:ascii="Arial" w:hAnsi="Arial" w:cs="Arial"/>
          <w:color w:val="222222"/>
          <w:sz w:val="24"/>
          <w:szCs w:val="24"/>
        </w:rPr>
        <w:t>La evaluación mixta trata de combinar ambas perspectivas bajo el supuesto de que su conjunción potencia los aspectos positivos de cada una (</w:t>
      </w:r>
      <w:proofErr w:type="spellStart"/>
      <w:r w:rsidRPr="00D313F2">
        <w:rPr>
          <w:rFonts w:ascii="Arial" w:hAnsi="Arial" w:cs="Arial"/>
          <w:color w:val="222222"/>
          <w:sz w:val="24"/>
          <w:szCs w:val="24"/>
        </w:rPr>
        <w:t>Neirotti</w:t>
      </w:r>
      <w:proofErr w:type="spellEnd"/>
      <w:r w:rsidRPr="00D313F2">
        <w:rPr>
          <w:rFonts w:ascii="Arial" w:hAnsi="Arial" w:cs="Arial"/>
          <w:color w:val="222222"/>
          <w:sz w:val="24"/>
          <w:szCs w:val="24"/>
        </w:rPr>
        <w:t xml:space="preserve"> y </w:t>
      </w:r>
      <w:proofErr w:type="spellStart"/>
      <w:r w:rsidRPr="00D313F2">
        <w:rPr>
          <w:rFonts w:ascii="Arial" w:hAnsi="Arial" w:cs="Arial"/>
          <w:color w:val="222222"/>
          <w:sz w:val="24"/>
          <w:szCs w:val="24"/>
        </w:rPr>
        <w:t>Poggi</w:t>
      </w:r>
      <w:proofErr w:type="spellEnd"/>
      <w:r w:rsidRPr="00D313F2">
        <w:rPr>
          <w:rFonts w:ascii="Arial" w:hAnsi="Arial" w:cs="Arial"/>
          <w:color w:val="222222"/>
          <w:sz w:val="24"/>
          <w:szCs w:val="24"/>
        </w:rPr>
        <w:t>, 2004). Este proceso permite incluir distintas posiciones desde el punto de vista de los actores involucrados. No obstante, para implementarla es necesario lograr un trabajo conjunto y acompasado entre los actores internos y externos. Y esto alarga los tiempos de la evaluación</w:t>
      </w:r>
      <w:r>
        <w:rPr>
          <w:rFonts w:ascii="Arial" w:hAnsi="Arial" w:cs="Arial"/>
          <w:color w:val="222222"/>
          <w:sz w:val="24"/>
          <w:szCs w:val="24"/>
        </w:rPr>
        <w:t>.</w:t>
      </w:r>
    </w:p>
    <w:p w:rsidR="00D313F2" w:rsidRPr="00D313F2" w:rsidRDefault="00D313F2" w:rsidP="00D313F2">
      <w:pPr>
        <w:jc w:val="both"/>
        <w:rPr>
          <w:rFonts w:ascii="Arial" w:hAnsi="Arial" w:cs="Arial"/>
          <w:color w:val="222222"/>
          <w:sz w:val="24"/>
          <w:szCs w:val="24"/>
        </w:rPr>
      </w:pPr>
      <w:r w:rsidRPr="00D313F2">
        <w:rPr>
          <w:rFonts w:ascii="Arial" w:hAnsi="Arial" w:cs="Arial"/>
          <w:color w:val="222222"/>
          <w:sz w:val="24"/>
          <w:szCs w:val="24"/>
        </w:rPr>
        <w:lastRenderedPageBreak/>
        <w:t>Finalmente, la evaluación participativa incorpora a los titulares del programa evaluado; además, considera que todos los que, de un modo u otro, se vinculan con el tema evaluado porque tienen intereses involucrados o pueden verse afectados por él, deberían tener protagonismo durante el proceso (</w:t>
      </w:r>
      <w:proofErr w:type="spellStart"/>
      <w:r w:rsidRPr="00D313F2">
        <w:rPr>
          <w:rFonts w:ascii="Arial" w:hAnsi="Arial" w:cs="Arial"/>
          <w:color w:val="222222"/>
          <w:sz w:val="24"/>
          <w:szCs w:val="24"/>
        </w:rPr>
        <w:t>Nirenberg</w:t>
      </w:r>
      <w:proofErr w:type="spellEnd"/>
      <w:r w:rsidRPr="00D313F2">
        <w:rPr>
          <w:rFonts w:ascii="Arial" w:hAnsi="Arial" w:cs="Arial"/>
          <w:color w:val="222222"/>
          <w:sz w:val="24"/>
          <w:szCs w:val="24"/>
        </w:rPr>
        <w:t>, 2009).</w:t>
      </w:r>
    </w:p>
    <w:p w:rsidR="00D313F2" w:rsidRDefault="00D313F2" w:rsidP="002252A4">
      <w:pPr>
        <w:spacing w:line="360" w:lineRule="auto"/>
        <w:jc w:val="both"/>
        <w:rPr>
          <w:rFonts w:ascii="Arial" w:hAnsi="Arial" w:cs="Arial"/>
          <w:color w:val="222222"/>
          <w:sz w:val="24"/>
          <w:szCs w:val="24"/>
        </w:rPr>
      </w:pPr>
    </w:p>
    <w:p w:rsidR="00D313F2" w:rsidRDefault="00D313F2" w:rsidP="002252A4">
      <w:pPr>
        <w:spacing w:line="360" w:lineRule="auto"/>
        <w:jc w:val="both"/>
        <w:rPr>
          <w:rFonts w:ascii="Arial" w:hAnsi="Arial" w:cs="Arial"/>
          <w:b/>
          <w:color w:val="222222"/>
          <w:sz w:val="24"/>
          <w:szCs w:val="24"/>
        </w:rPr>
      </w:pPr>
      <w:r w:rsidRPr="00D313F2">
        <w:rPr>
          <w:rFonts w:ascii="Arial" w:hAnsi="Arial" w:cs="Arial"/>
          <w:b/>
          <w:color w:val="222222"/>
          <w:sz w:val="24"/>
          <w:szCs w:val="24"/>
        </w:rPr>
        <w:t>Vinculando el monitoreo y la evaluación con el ciclo de vida de las políticas, los programas y los proyectos</w:t>
      </w:r>
    </w:p>
    <w:p w:rsidR="00FE7D12" w:rsidRDefault="00D313F2" w:rsidP="00FE7D12">
      <w:pPr>
        <w:pStyle w:val="Prrafodelista"/>
        <w:numPr>
          <w:ilvl w:val="0"/>
          <w:numId w:val="11"/>
        </w:numPr>
        <w:spacing w:line="360" w:lineRule="auto"/>
        <w:jc w:val="both"/>
        <w:rPr>
          <w:rFonts w:ascii="Arial" w:hAnsi="Arial" w:cs="Arial"/>
          <w:color w:val="222222"/>
          <w:sz w:val="24"/>
          <w:szCs w:val="24"/>
        </w:rPr>
      </w:pPr>
      <w:r w:rsidRPr="00281034">
        <w:rPr>
          <w:rFonts w:ascii="Arial" w:hAnsi="Arial" w:cs="Arial"/>
          <w:color w:val="222222"/>
          <w:sz w:val="24"/>
          <w:szCs w:val="24"/>
        </w:rPr>
        <w:t>Si evaluamos antes de comenzar la ejecución, realizamo</w:t>
      </w:r>
      <w:r w:rsidR="00281034">
        <w:rPr>
          <w:rFonts w:ascii="Arial" w:hAnsi="Arial" w:cs="Arial"/>
          <w:color w:val="222222"/>
          <w:sz w:val="24"/>
          <w:szCs w:val="24"/>
        </w:rPr>
        <w:t>s una evaluación ex ante.</w:t>
      </w:r>
      <w:r w:rsidR="00FE7D12" w:rsidRPr="00FE7D12">
        <w:t xml:space="preserve"> </w:t>
      </w:r>
      <w:r w:rsidR="00FE7D12" w:rsidRPr="00FE7D12">
        <w:rPr>
          <w:rFonts w:ascii="Arial" w:hAnsi="Arial" w:cs="Arial"/>
          <w:color w:val="222222"/>
          <w:sz w:val="24"/>
          <w:szCs w:val="24"/>
        </w:rPr>
        <w:t xml:space="preserve">La evaluación ex ante permite determinar: </w:t>
      </w:r>
    </w:p>
    <w:p w:rsidR="00FE7D12" w:rsidRDefault="00FE7D12" w:rsidP="00FE7D12">
      <w:pPr>
        <w:pStyle w:val="Prrafodelista"/>
        <w:numPr>
          <w:ilvl w:val="1"/>
          <w:numId w:val="11"/>
        </w:numPr>
        <w:spacing w:line="360" w:lineRule="auto"/>
        <w:jc w:val="both"/>
        <w:rPr>
          <w:rFonts w:ascii="Arial" w:hAnsi="Arial" w:cs="Arial"/>
          <w:color w:val="222222"/>
          <w:sz w:val="24"/>
          <w:szCs w:val="24"/>
        </w:rPr>
      </w:pPr>
      <w:r w:rsidRPr="00FE7D12">
        <w:rPr>
          <w:rFonts w:ascii="Arial" w:hAnsi="Arial" w:cs="Arial"/>
          <w:color w:val="222222"/>
          <w:sz w:val="24"/>
          <w:szCs w:val="24"/>
        </w:rPr>
        <w:t>La viabilidad de la intervención, es decir, la posibilidad real de que pued</w:t>
      </w:r>
      <w:r>
        <w:rPr>
          <w:rFonts w:ascii="Arial" w:hAnsi="Arial" w:cs="Arial"/>
          <w:color w:val="222222"/>
          <w:sz w:val="24"/>
          <w:szCs w:val="24"/>
        </w:rPr>
        <w:t xml:space="preserve">a ser implementada con éxito. </w:t>
      </w:r>
    </w:p>
    <w:p w:rsidR="00281034" w:rsidRPr="00FE7D12" w:rsidRDefault="00FE7D12" w:rsidP="00FE7D12">
      <w:pPr>
        <w:pStyle w:val="Prrafodelista"/>
        <w:numPr>
          <w:ilvl w:val="1"/>
          <w:numId w:val="11"/>
        </w:numPr>
        <w:spacing w:line="360" w:lineRule="auto"/>
        <w:jc w:val="both"/>
        <w:rPr>
          <w:rFonts w:ascii="Arial" w:hAnsi="Arial" w:cs="Arial"/>
          <w:color w:val="222222"/>
          <w:sz w:val="24"/>
          <w:szCs w:val="24"/>
        </w:rPr>
      </w:pPr>
      <w:r w:rsidRPr="00FE7D12">
        <w:rPr>
          <w:rFonts w:ascii="Arial" w:hAnsi="Arial" w:cs="Arial"/>
          <w:color w:val="222222"/>
          <w:sz w:val="24"/>
          <w:szCs w:val="24"/>
        </w:rPr>
        <w:t>La trascendencia social de la política, programa o proyecto, esto es, su idoneidad y pertinencia para generar impacto social.</w:t>
      </w:r>
    </w:p>
    <w:p w:rsidR="00281034" w:rsidRDefault="00D313F2" w:rsidP="00FE7D12">
      <w:pPr>
        <w:pStyle w:val="Prrafodelista"/>
        <w:numPr>
          <w:ilvl w:val="0"/>
          <w:numId w:val="11"/>
        </w:numPr>
        <w:spacing w:line="360" w:lineRule="auto"/>
        <w:jc w:val="both"/>
        <w:rPr>
          <w:rFonts w:ascii="Arial" w:hAnsi="Arial" w:cs="Arial"/>
          <w:color w:val="222222"/>
          <w:sz w:val="24"/>
          <w:szCs w:val="24"/>
        </w:rPr>
      </w:pPr>
      <w:r w:rsidRPr="00281034">
        <w:rPr>
          <w:rFonts w:ascii="Arial" w:hAnsi="Arial" w:cs="Arial"/>
          <w:color w:val="222222"/>
          <w:sz w:val="24"/>
          <w:szCs w:val="24"/>
        </w:rPr>
        <w:t>Si evaluamos durante la ejecución, implementamos un proceso de monitoreo o un</w:t>
      </w:r>
      <w:r w:rsidR="00281034">
        <w:rPr>
          <w:rFonts w:ascii="Arial" w:hAnsi="Arial" w:cs="Arial"/>
          <w:color w:val="222222"/>
          <w:sz w:val="24"/>
          <w:szCs w:val="24"/>
        </w:rPr>
        <w:t>a evaluación concurrente.</w:t>
      </w:r>
      <w:r w:rsidR="00FE7D12" w:rsidRPr="00FE7D12">
        <w:t xml:space="preserve"> </w:t>
      </w:r>
      <w:r w:rsidR="00FE7D12">
        <w:rPr>
          <w:rFonts w:ascii="Arial" w:hAnsi="Arial" w:cs="Arial"/>
          <w:color w:val="222222"/>
          <w:sz w:val="24"/>
          <w:szCs w:val="24"/>
        </w:rPr>
        <w:t>E</w:t>
      </w:r>
      <w:r w:rsidR="00FE7D12" w:rsidRPr="00FE7D12">
        <w:rPr>
          <w:rFonts w:ascii="Arial" w:hAnsi="Arial" w:cs="Arial"/>
          <w:color w:val="222222"/>
          <w:sz w:val="24"/>
          <w:szCs w:val="24"/>
        </w:rPr>
        <w:t>s un insumo para corregir los cursos de acción. Permite ajustar los componentes necesarios para alcanzar los objetivos propuestos</w:t>
      </w:r>
    </w:p>
    <w:p w:rsidR="00FE7D12" w:rsidRDefault="00D313F2" w:rsidP="00FE7D12">
      <w:pPr>
        <w:pStyle w:val="Prrafodelista"/>
        <w:numPr>
          <w:ilvl w:val="0"/>
          <w:numId w:val="11"/>
        </w:numPr>
        <w:spacing w:line="360" w:lineRule="auto"/>
        <w:jc w:val="both"/>
        <w:rPr>
          <w:rFonts w:ascii="Arial" w:hAnsi="Arial" w:cs="Arial"/>
          <w:color w:val="222222"/>
          <w:sz w:val="24"/>
          <w:szCs w:val="24"/>
        </w:rPr>
      </w:pPr>
      <w:r w:rsidRPr="00281034">
        <w:rPr>
          <w:rFonts w:ascii="Arial" w:hAnsi="Arial" w:cs="Arial"/>
          <w:color w:val="222222"/>
          <w:sz w:val="24"/>
          <w:szCs w:val="24"/>
        </w:rPr>
        <w:t>Si evaluamos una vez finalizada la ejecución, llevamos adel</w:t>
      </w:r>
      <w:r w:rsidR="00281034">
        <w:rPr>
          <w:rFonts w:ascii="Arial" w:hAnsi="Arial" w:cs="Arial"/>
          <w:color w:val="222222"/>
          <w:sz w:val="24"/>
          <w:szCs w:val="24"/>
        </w:rPr>
        <w:t>ante una evaluación ex post.</w:t>
      </w:r>
      <w:r w:rsidR="00FE7D12">
        <w:rPr>
          <w:rFonts w:ascii="Arial" w:hAnsi="Arial" w:cs="Arial"/>
          <w:color w:val="222222"/>
          <w:sz w:val="24"/>
          <w:szCs w:val="24"/>
        </w:rPr>
        <w:t xml:space="preserve"> Esta se </w:t>
      </w:r>
      <w:r w:rsidR="00FE7D12" w:rsidRPr="00FE7D12">
        <w:rPr>
          <w:rFonts w:ascii="Arial" w:hAnsi="Arial" w:cs="Arial"/>
          <w:color w:val="222222"/>
          <w:sz w:val="24"/>
          <w:szCs w:val="24"/>
        </w:rPr>
        <w:t>convierte en un insumo fundamental para superar los problemas y obstáculos encontrados o fortalecer los aspectos positivos detectados. En ella se tienen en cuenta:</w:t>
      </w:r>
    </w:p>
    <w:p w:rsidR="00D313F2" w:rsidRDefault="00FE7D12" w:rsidP="00FE7D12">
      <w:pPr>
        <w:pStyle w:val="Prrafodelista"/>
        <w:numPr>
          <w:ilvl w:val="1"/>
          <w:numId w:val="11"/>
        </w:numPr>
        <w:spacing w:line="360" w:lineRule="auto"/>
        <w:jc w:val="both"/>
        <w:rPr>
          <w:rFonts w:ascii="Arial" w:hAnsi="Arial" w:cs="Arial"/>
          <w:color w:val="222222"/>
          <w:sz w:val="24"/>
          <w:szCs w:val="24"/>
        </w:rPr>
      </w:pPr>
      <w:r w:rsidRPr="00FE7D12">
        <w:rPr>
          <w:rFonts w:ascii="Arial" w:hAnsi="Arial" w:cs="Arial"/>
          <w:color w:val="222222"/>
          <w:sz w:val="24"/>
          <w:szCs w:val="24"/>
        </w:rPr>
        <w:t>Productos o resultados: los productos son los resultados concretos de la implementación de una de las 3 P. Se obtienen al comparar los objetivos, metas, actividades e insumos planificados, con los alcanzados. En términos de productos, se analiza tanto la cantidad como la calidad. En general, los productos ya están expresados en la formulación de las 3 P.</w:t>
      </w:r>
    </w:p>
    <w:p w:rsidR="00FE7D12" w:rsidRDefault="00FE7D12" w:rsidP="00FE7D12">
      <w:pPr>
        <w:pStyle w:val="Prrafodelista"/>
        <w:numPr>
          <w:ilvl w:val="1"/>
          <w:numId w:val="11"/>
        </w:numPr>
        <w:spacing w:line="360" w:lineRule="auto"/>
        <w:jc w:val="both"/>
        <w:rPr>
          <w:rFonts w:ascii="Arial" w:hAnsi="Arial" w:cs="Arial"/>
          <w:color w:val="222222"/>
          <w:sz w:val="24"/>
          <w:szCs w:val="24"/>
        </w:rPr>
      </w:pPr>
      <w:r w:rsidRPr="00FE7D12">
        <w:rPr>
          <w:rFonts w:ascii="Arial" w:hAnsi="Arial" w:cs="Arial"/>
          <w:color w:val="222222"/>
          <w:sz w:val="24"/>
          <w:szCs w:val="24"/>
        </w:rPr>
        <w:t xml:space="preserve">Efectos: los efectos esperados son los cambios previstos que se desean generar a través de las 3 P. Son cambios positivos, con respecto a la situación inicial, y se producen como consecuencia de </w:t>
      </w:r>
      <w:r w:rsidRPr="00FE7D12">
        <w:rPr>
          <w:rFonts w:ascii="Arial" w:hAnsi="Arial" w:cs="Arial"/>
          <w:color w:val="222222"/>
          <w:sz w:val="24"/>
          <w:szCs w:val="24"/>
        </w:rPr>
        <w:lastRenderedPageBreak/>
        <w:t>los productos logrados. Los efectos no previstos son aquellos (positivos o negativos) que no fueron contemplados a la hora de planificar, pero que la ev</w:t>
      </w:r>
      <w:r>
        <w:rPr>
          <w:rFonts w:ascii="Arial" w:hAnsi="Arial" w:cs="Arial"/>
          <w:color w:val="222222"/>
          <w:sz w:val="24"/>
          <w:szCs w:val="24"/>
        </w:rPr>
        <w:t xml:space="preserve">aluación permite visualizar.  </w:t>
      </w:r>
    </w:p>
    <w:p w:rsidR="00FE7D12" w:rsidRPr="00FE7D12" w:rsidRDefault="00FE7D12" w:rsidP="00FE7D12">
      <w:pPr>
        <w:pStyle w:val="Prrafodelista"/>
        <w:numPr>
          <w:ilvl w:val="1"/>
          <w:numId w:val="11"/>
        </w:numPr>
        <w:spacing w:line="360" w:lineRule="auto"/>
        <w:jc w:val="both"/>
        <w:rPr>
          <w:rFonts w:ascii="Arial" w:hAnsi="Arial" w:cs="Arial"/>
          <w:color w:val="222222"/>
          <w:sz w:val="24"/>
          <w:szCs w:val="24"/>
        </w:rPr>
      </w:pPr>
      <w:r w:rsidRPr="00FE7D12">
        <w:rPr>
          <w:rFonts w:ascii="Arial" w:hAnsi="Arial" w:cs="Arial"/>
          <w:color w:val="222222"/>
          <w:sz w:val="24"/>
          <w:szCs w:val="24"/>
        </w:rPr>
        <w:t>Impacto: el impacto remite a un mayor nivel de profundidad ya que toma en cuenta el desarrollo de los efectos. En este sentido, pueden considerarse también los resultados a largo plazo.</w:t>
      </w:r>
    </w:p>
    <w:p w:rsidR="00AB2951" w:rsidRDefault="00AB2951" w:rsidP="002252A4">
      <w:pPr>
        <w:spacing w:line="360" w:lineRule="auto"/>
        <w:jc w:val="both"/>
        <w:rPr>
          <w:rFonts w:ascii="Arial" w:hAnsi="Arial" w:cs="Arial"/>
          <w:color w:val="222222"/>
          <w:sz w:val="24"/>
          <w:szCs w:val="24"/>
        </w:rPr>
      </w:pPr>
    </w:p>
    <w:p w:rsidR="00F256C1" w:rsidRDefault="00F256C1" w:rsidP="002252A4">
      <w:pPr>
        <w:spacing w:line="360" w:lineRule="auto"/>
        <w:jc w:val="both"/>
        <w:rPr>
          <w:rFonts w:ascii="Arial" w:hAnsi="Arial" w:cs="Arial"/>
          <w:b/>
          <w:color w:val="222222"/>
          <w:sz w:val="24"/>
          <w:szCs w:val="24"/>
        </w:rPr>
      </w:pPr>
      <w:r w:rsidRPr="00F256C1">
        <w:rPr>
          <w:rFonts w:ascii="Arial" w:hAnsi="Arial" w:cs="Arial"/>
          <w:b/>
          <w:color w:val="222222"/>
          <w:sz w:val="24"/>
          <w:szCs w:val="24"/>
        </w:rPr>
        <w:t>Conclusiones</w:t>
      </w:r>
    </w:p>
    <w:p w:rsidR="00F256C1" w:rsidRDefault="00F256C1" w:rsidP="002252A4">
      <w:pPr>
        <w:spacing w:line="360" w:lineRule="auto"/>
        <w:jc w:val="both"/>
        <w:rPr>
          <w:rFonts w:ascii="Arial" w:hAnsi="Arial" w:cs="Arial"/>
          <w:b/>
          <w:color w:val="222222"/>
          <w:sz w:val="24"/>
          <w:szCs w:val="24"/>
        </w:rPr>
      </w:pPr>
    </w:p>
    <w:p w:rsidR="00F256C1" w:rsidRPr="00F256C1" w:rsidRDefault="00220030" w:rsidP="002252A4">
      <w:pPr>
        <w:spacing w:line="360" w:lineRule="auto"/>
        <w:jc w:val="both"/>
        <w:rPr>
          <w:rFonts w:ascii="Arial" w:hAnsi="Arial" w:cs="Arial"/>
          <w:color w:val="222222"/>
          <w:sz w:val="24"/>
          <w:szCs w:val="24"/>
        </w:rPr>
      </w:pPr>
      <w:r>
        <w:rPr>
          <w:rFonts w:ascii="Arial" w:hAnsi="Arial" w:cs="Arial"/>
          <w:color w:val="222222"/>
          <w:sz w:val="24"/>
          <w:szCs w:val="24"/>
        </w:rPr>
        <w:t>T</w:t>
      </w:r>
      <w:r w:rsidR="00F256C1" w:rsidRPr="00F256C1">
        <w:rPr>
          <w:rFonts w:ascii="Arial" w:hAnsi="Arial" w:cs="Arial"/>
          <w:color w:val="222222"/>
          <w:sz w:val="24"/>
          <w:szCs w:val="24"/>
        </w:rPr>
        <w:t xml:space="preserve">anto el monitoreo como la evaluación de políticas, programas y proyectos sociales son instrumentos que permiten aprender sobre la manera de diseñar e implementar políticas públicas. Los datos que se obtienen a través de ellos hablan sobre los titulares y su vínculo con la problemática, y también sobre los tiempos de implementación y las estrategias </w:t>
      </w:r>
      <w:r>
        <w:rPr>
          <w:rFonts w:ascii="Arial" w:hAnsi="Arial" w:cs="Arial"/>
          <w:color w:val="222222"/>
          <w:sz w:val="24"/>
          <w:szCs w:val="24"/>
        </w:rPr>
        <w:t>más efectivas al momento de la evaluación. Aunque no necesariamente estas herramientas son completamente exactas, se acercan mucho para una toma de decisión más certera, elemento indispensable para una gestión por resultados efectiva necesaria en nuestra actualidad.</w:t>
      </w:r>
    </w:p>
    <w:sectPr w:rsidR="00F256C1" w:rsidRPr="00F256C1" w:rsidSect="004D0C98">
      <w:headerReference w:type="default" r:id="rId7"/>
      <w:pgSz w:w="12240" w:h="15840" w:code="1"/>
      <w:pgMar w:top="1417" w:right="1701" w:bottom="1417" w:left="1701" w:header="1417"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A20" w:rsidRDefault="002D3A20" w:rsidP="004D0C98">
      <w:pPr>
        <w:spacing w:after="0" w:line="240" w:lineRule="auto"/>
      </w:pPr>
      <w:r>
        <w:separator/>
      </w:r>
    </w:p>
  </w:endnote>
  <w:endnote w:type="continuationSeparator" w:id="0">
    <w:p w:rsidR="002D3A20" w:rsidRDefault="002D3A20" w:rsidP="004D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A20" w:rsidRDefault="002D3A20" w:rsidP="004D0C98">
      <w:pPr>
        <w:spacing w:after="0" w:line="240" w:lineRule="auto"/>
      </w:pPr>
      <w:r>
        <w:separator/>
      </w:r>
    </w:p>
  </w:footnote>
  <w:footnote w:type="continuationSeparator" w:id="0">
    <w:p w:rsidR="002D3A20" w:rsidRDefault="002D3A20" w:rsidP="004D0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951" w:rsidRDefault="00AB2951">
    <w:pPr>
      <w:pStyle w:val="Encabezado"/>
    </w:pPr>
  </w:p>
  <w:p w:rsidR="00AB2951" w:rsidRDefault="00AB29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5759"/>
    <w:multiLevelType w:val="hybridMultilevel"/>
    <w:tmpl w:val="9BB88C3C"/>
    <w:lvl w:ilvl="0" w:tplc="080A000F">
      <w:start w:val="1"/>
      <w:numFmt w:val="decimal"/>
      <w:lvlText w:val="%1."/>
      <w:lvlJc w:val="left"/>
      <w:pPr>
        <w:ind w:left="1020" w:hanging="360"/>
      </w:pPr>
    </w:lvl>
    <w:lvl w:ilvl="1" w:tplc="080A0001">
      <w:start w:val="1"/>
      <w:numFmt w:val="bullet"/>
      <w:lvlText w:val=""/>
      <w:lvlJc w:val="left"/>
      <w:pPr>
        <w:ind w:left="1740" w:hanging="360"/>
      </w:pPr>
      <w:rPr>
        <w:rFonts w:ascii="Symbol" w:hAnsi="Symbol" w:hint="default"/>
      </w:r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 w15:restartNumberingAfterBreak="0">
    <w:nsid w:val="0609243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7F56D1"/>
    <w:multiLevelType w:val="hybridMultilevel"/>
    <w:tmpl w:val="8A36AAD0"/>
    <w:lvl w:ilvl="0" w:tplc="080A000F">
      <w:start w:val="1"/>
      <w:numFmt w:val="decimal"/>
      <w:lvlText w:val="%1."/>
      <w:lvlJc w:val="left"/>
      <w:pPr>
        <w:ind w:left="2137" w:hanging="360"/>
      </w:p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3" w15:restartNumberingAfterBreak="0">
    <w:nsid w:val="18564631"/>
    <w:multiLevelType w:val="hybridMultilevel"/>
    <w:tmpl w:val="1F1A9514"/>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4" w15:restartNumberingAfterBreak="0">
    <w:nsid w:val="338528BF"/>
    <w:multiLevelType w:val="hybridMultilevel"/>
    <w:tmpl w:val="D7C08512"/>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5" w15:restartNumberingAfterBreak="0">
    <w:nsid w:val="35F414A2"/>
    <w:multiLevelType w:val="hybridMultilevel"/>
    <w:tmpl w:val="8FB6AB4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6" w15:restartNumberingAfterBreak="0">
    <w:nsid w:val="36A87BDF"/>
    <w:multiLevelType w:val="hybridMultilevel"/>
    <w:tmpl w:val="7AA8FDCA"/>
    <w:lvl w:ilvl="0" w:tplc="F33AB378">
      <w:numFmt w:val="bullet"/>
      <w:lvlText w:val="-"/>
      <w:lvlJc w:val="left"/>
      <w:pPr>
        <w:ind w:left="975" w:hanging="360"/>
      </w:pPr>
      <w:rPr>
        <w:rFonts w:ascii="Arial" w:eastAsia="Times New Roman" w:hAnsi="Arial" w:cs="Aria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7" w15:restartNumberingAfterBreak="0">
    <w:nsid w:val="3C802D70"/>
    <w:multiLevelType w:val="multilevel"/>
    <w:tmpl w:val="B75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21BEA"/>
    <w:multiLevelType w:val="multilevel"/>
    <w:tmpl w:val="4656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E072C"/>
    <w:multiLevelType w:val="hybridMultilevel"/>
    <w:tmpl w:val="CACEF1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379398D"/>
    <w:multiLevelType w:val="multilevel"/>
    <w:tmpl w:val="1D0E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2"/>
  </w:num>
  <w:num w:numId="5">
    <w:abstractNumId w:val="0"/>
  </w:num>
  <w:num w:numId="6">
    <w:abstractNumId w:val="10"/>
  </w:num>
  <w:num w:numId="7">
    <w:abstractNumId w:val="3"/>
  </w:num>
  <w:num w:numId="8">
    <w:abstractNumId w:val="5"/>
  </w:num>
  <w:num w:numId="9">
    <w:abstractNumId w:val="8"/>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98"/>
    <w:rsid w:val="0002087D"/>
    <w:rsid w:val="00033BA0"/>
    <w:rsid w:val="00060604"/>
    <w:rsid w:val="00085A9C"/>
    <w:rsid w:val="000D1BA0"/>
    <w:rsid w:val="00110835"/>
    <w:rsid w:val="00122DE0"/>
    <w:rsid w:val="00134563"/>
    <w:rsid w:val="001349F6"/>
    <w:rsid w:val="00137D05"/>
    <w:rsid w:val="0017597D"/>
    <w:rsid w:val="00175B4E"/>
    <w:rsid w:val="00196325"/>
    <w:rsid w:val="001A10ED"/>
    <w:rsid w:val="001A1119"/>
    <w:rsid w:val="001B594A"/>
    <w:rsid w:val="001D7693"/>
    <w:rsid w:val="001E085D"/>
    <w:rsid w:val="002026FF"/>
    <w:rsid w:val="00220030"/>
    <w:rsid w:val="002252A4"/>
    <w:rsid w:val="00255E0B"/>
    <w:rsid w:val="0026188F"/>
    <w:rsid w:val="00281034"/>
    <w:rsid w:val="002B0879"/>
    <w:rsid w:val="002C0584"/>
    <w:rsid w:val="002D3A20"/>
    <w:rsid w:val="0033656E"/>
    <w:rsid w:val="003566E2"/>
    <w:rsid w:val="00367369"/>
    <w:rsid w:val="003E127A"/>
    <w:rsid w:val="00417353"/>
    <w:rsid w:val="00475704"/>
    <w:rsid w:val="004C7337"/>
    <w:rsid w:val="004D0C98"/>
    <w:rsid w:val="004F17E5"/>
    <w:rsid w:val="0051293E"/>
    <w:rsid w:val="005211BB"/>
    <w:rsid w:val="00560CC4"/>
    <w:rsid w:val="00575E21"/>
    <w:rsid w:val="005B4EAE"/>
    <w:rsid w:val="005B57CB"/>
    <w:rsid w:val="005B7EB7"/>
    <w:rsid w:val="005D2197"/>
    <w:rsid w:val="005D4F91"/>
    <w:rsid w:val="0060497E"/>
    <w:rsid w:val="00630914"/>
    <w:rsid w:val="006B16CC"/>
    <w:rsid w:val="006E0E7E"/>
    <w:rsid w:val="006E54F8"/>
    <w:rsid w:val="00702B57"/>
    <w:rsid w:val="00721D05"/>
    <w:rsid w:val="00726DE0"/>
    <w:rsid w:val="00734885"/>
    <w:rsid w:val="007846BC"/>
    <w:rsid w:val="00785592"/>
    <w:rsid w:val="00793BF7"/>
    <w:rsid w:val="007F7F6A"/>
    <w:rsid w:val="00823678"/>
    <w:rsid w:val="00852E05"/>
    <w:rsid w:val="00882FFE"/>
    <w:rsid w:val="008B2A3E"/>
    <w:rsid w:val="00981280"/>
    <w:rsid w:val="009838A9"/>
    <w:rsid w:val="009A4721"/>
    <w:rsid w:val="009E366A"/>
    <w:rsid w:val="00A073A7"/>
    <w:rsid w:val="00A62999"/>
    <w:rsid w:val="00AB2951"/>
    <w:rsid w:val="00AC6208"/>
    <w:rsid w:val="00B024CA"/>
    <w:rsid w:val="00B225F9"/>
    <w:rsid w:val="00BA6842"/>
    <w:rsid w:val="00BF6E4E"/>
    <w:rsid w:val="00C11D54"/>
    <w:rsid w:val="00C35079"/>
    <w:rsid w:val="00C54ECE"/>
    <w:rsid w:val="00C60902"/>
    <w:rsid w:val="00C62E2F"/>
    <w:rsid w:val="00C720EA"/>
    <w:rsid w:val="00C860BA"/>
    <w:rsid w:val="00D0424B"/>
    <w:rsid w:val="00D153DC"/>
    <w:rsid w:val="00D15732"/>
    <w:rsid w:val="00D313F2"/>
    <w:rsid w:val="00D449ED"/>
    <w:rsid w:val="00D640A3"/>
    <w:rsid w:val="00D861F4"/>
    <w:rsid w:val="00D90401"/>
    <w:rsid w:val="00DA47DD"/>
    <w:rsid w:val="00DB4274"/>
    <w:rsid w:val="00E175A3"/>
    <w:rsid w:val="00E37CD8"/>
    <w:rsid w:val="00E44603"/>
    <w:rsid w:val="00E5657C"/>
    <w:rsid w:val="00EF751D"/>
    <w:rsid w:val="00F256C1"/>
    <w:rsid w:val="00F27A8E"/>
    <w:rsid w:val="00F375E5"/>
    <w:rsid w:val="00F936EF"/>
    <w:rsid w:val="00FA2115"/>
    <w:rsid w:val="00FC6598"/>
    <w:rsid w:val="00FE6493"/>
    <w:rsid w:val="00FE7D12"/>
    <w:rsid w:val="00FF37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2FD9"/>
  <w15:chartTrackingRefBased/>
  <w15:docId w15:val="{F4455BD4-D1E5-4019-B032-47C45944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0C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C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C98"/>
  </w:style>
  <w:style w:type="paragraph" w:styleId="Piedepgina">
    <w:name w:val="footer"/>
    <w:basedOn w:val="Normal"/>
    <w:link w:val="PiedepginaCar"/>
    <w:uiPriority w:val="99"/>
    <w:unhideWhenUsed/>
    <w:rsid w:val="004D0C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C98"/>
  </w:style>
  <w:style w:type="paragraph" w:styleId="Prrafodelista">
    <w:name w:val="List Paragraph"/>
    <w:basedOn w:val="Normal"/>
    <w:uiPriority w:val="34"/>
    <w:qFormat/>
    <w:rsid w:val="004D0C98"/>
    <w:pPr>
      <w:ind w:left="720"/>
      <w:contextualSpacing/>
    </w:pPr>
  </w:style>
  <w:style w:type="character" w:styleId="Hipervnculo">
    <w:name w:val="Hyperlink"/>
    <w:basedOn w:val="Fuentedeprrafopredeter"/>
    <w:uiPriority w:val="99"/>
    <w:unhideWhenUsed/>
    <w:rsid w:val="00A62999"/>
    <w:rPr>
      <w:color w:val="0563C1" w:themeColor="hyperlink"/>
      <w:u w:val="single"/>
    </w:rPr>
  </w:style>
  <w:style w:type="paragraph" w:styleId="NormalWeb">
    <w:name w:val="Normal (Web)"/>
    <w:basedOn w:val="Normal"/>
    <w:uiPriority w:val="99"/>
    <w:unhideWhenUsed/>
    <w:rsid w:val="00A073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073A7"/>
    <w:rPr>
      <w:b/>
      <w:bCs/>
    </w:rPr>
  </w:style>
  <w:style w:type="character" w:customStyle="1" w:styleId="apple-converted-space">
    <w:name w:val="apple-converted-space"/>
    <w:basedOn w:val="Fuentedeprrafopredeter"/>
    <w:rsid w:val="00A07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743505">
      <w:bodyDiv w:val="1"/>
      <w:marLeft w:val="0"/>
      <w:marRight w:val="0"/>
      <w:marTop w:val="0"/>
      <w:marBottom w:val="0"/>
      <w:divBdr>
        <w:top w:val="none" w:sz="0" w:space="0" w:color="auto"/>
        <w:left w:val="none" w:sz="0" w:space="0" w:color="auto"/>
        <w:bottom w:val="none" w:sz="0" w:space="0" w:color="auto"/>
        <w:right w:val="none" w:sz="0" w:space="0" w:color="auto"/>
      </w:divBdr>
      <w:divsChild>
        <w:div w:id="143661765">
          <w:marLeft w:val="0"/>
          <w:marRight w:val="0"/>
          <w:marTop w:val="0"/>
          <w:marBottom w:val="0"/>
          <w:divBdr>
            <w:top w:val="none" w:sz="0" w:space="0" w:color="auto"/>
            <w:left w:val="none" w:sz="0" w:space="0" w:color="auto"/>
            <w:bottom w:val="none" w:sz="0" w:space="0" w:color="auto"/>
            <w:right w:val="none" w:sz="0" w:space="0" w:color="auto"/>
          </w:divBdr>
          <w:divsChild>
            <w:div w:id="1232277242">
              <w:marLeft w:val="0"/>
              <w:marRight w:val="0"/>
              <w:marTop w:val="0"/>
              <w:marBottom w:val="0"/>
              <w:divBdr>
                <w:top w:val="none" w:sz="0" w:space="0" w:color="auto"/>
                <w:left w:val="none" w:sz="0" w:space="0" w:color="auto"/>
                <w:bottom w:val="none" w:sz="0" w:space="0" w:color="auto"/>
                <w:right w:val="none" w:sz="0" w:space="0" w:color="auto"/>
              </w:divBdr>
              <w:divsChild>
                <w:div w:id="16351089">
                  <w:marLeft w:val="0"/>
                  <w:marRight w:val="0"/>
                  <w:marTop w:val="0"/>
                  <w:marBottom w:val="0"/>
                  <w:divBdr>
                    <w:top w:val="none" w:sz="0" w:space="0" w:color="auto"/>
                    <w:left w:val="none" w:sz="0" w:space="0" w:color="auto"/>
                    <w:bottom w:val="none" w:sz="0" w:space="0" w:color="auto"/>
                    <w:right w:val="none" w:sz="0" w:space="0" w:color="auto"/>
                  </w:divBdr>
                  <w:divsChild>
                    <w:div w:id="1761684463">
                      <w:marLeft w:val="0"/>
                      <w:marRight w:val="0"/>
                      <w:marTop w:val="0"/>
                      <w:marBottom w:val="0"/>
                      <w:divBdr>
                        <w:top w:val="single" w:sz="6" w:space="8" w:color="FFFFFF"/>
                        <w:left w:val="single" w:sz="6" w:space="8" w:color="DBDBDB"/>
                        <w:bottom w:val="single" w:sz="6" w:space="8" w:color="DBDBDB"/>
                        <w:right w:val="single" w:sz="6" w:space="8" w:color="DBDBDB"/>
                      </w:divBdr>
                      <w:divsChild>
                        <w:div w:id="31468501">
                          <w:marLeft w:val="0"/>
                          <w:marRight w:val="0"/>
                          <w:marTop w:val="0"/>
                          <w:marBottom w:val="0"/>
                          <w:divBdr>
                            <w:top w:val="none" w:sz="0" w:space="0" w:color="auto"/>
                            <w:left w:val="none" w:sz="0" w:space="0" w:color="auto"/>
                            <w:bottom w:val="dotted" w:sz="6" w:space="8" w:color="CCCCCC"/>
                            <w:right w:val="none" w:sz="0" w:space="0" w:color="auto"/>
                          </w:divBdr>
                        </w:div>
                        <w:div w:id="50659550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561909192">
      <w:bodyDiv w:val="1"/>
      <w:marLeft w:val="0"/>
      <w:marRight w:val="0"/>
      <w:marTop w:val="0"/>
      <w:marBottom w:val="0"/>
      <w:divBdr>
        <w:top w:val="none" w:sz="0" w:space="0" w:color="auto"/>
        <w:left w:val="none" w:sz="0" w:space="0" w:color="auto"/>
        <w:bottom w:val="none" w:sz="0" w:space="0" w:color="auto"/>
        <w:right w:val="none" w:sz="0" w:space="0" w:color="auto"/>
      </w:divBdr>
      <w:divsChild>
        <w:div w:id="1650674888">
          <w:marLeft w:val="0"/>
          <w:marRight w:val="0"/>
          <w:marTop w:val="0"/>
          <w:marBottom w:val="0"/>
          <w:divBdr>
            <w:top w:val="none" w:sz="0" w:space="0" w:color="auto"/>
            <w:left w:val="none" w:sz="0" w:space="0" w:color="auto"/>
            <w:bottom w:val="none" w:sz="0" w:space="0" w:color="auto"/>
            <w:right w:val="none" w:sz="0" w:space="0" w:color="auto"/>
          </w:divBdr>
          <w:divsChild>
            <w:div w:id="1388798792">
              <w:marLeft w:val="0"/>
              <w:marRight w:val="0"/>
              <w:marTop w:val="0"/>
              <w:marBottom w:val="0"/>
              <w:divBdr>
                <w:top w:val="none" w:sz="0" w:space="0" w:color="auto"/>
                <w:left w:val="none" w:sz="0" w:space="0" w:color="auto"/>
                <w:bottom w:val="none" w:sz="0" w:space="0" w:color="auto"/>
                <w:right w:val="none" w:sz="0" w:space="0" w:color="auto"/>
              </w:divBdr>
              <w:divsChild>
                <w:div w:id="98450602">
                  <w:marLeft w:val="0"/>
                  <w:marRight w:val="0"/>
                  <w:marTop w:val="0"/>
                  <w:marBottom w:val="0"/>
                  <w:divBdr>
                    <w:top w:val="none" w:sz="0" w:space="0" w:color="auto"/>
                    <w:left w:val="none" w:sz="0" w:space="0" w:color="auto"/>
                    <w:bottom w:val="none" w:sz="0" w:space="0" w:color="auto"/>
                    <w:right w:val="none" w:sz="0" w:space="0" w:color="auto"/>
                  </w:divBdr>
                  <w:divsChild>
                    <w:div w:id="1534028200">
                      <w:marLeft w:val="0"/>
                      <w:marRight w:val="0"/>
                      <w:marTop w:val="0"/>
                      <w:marBottom w:val="0"/>
                      <w:divBdr>
                        <w:top w:val="single" w:sz="6" w:space="8" w:color="FFFFFF"/>
                        <w:left w:val="single" w:sz="6" w:space="8" w:color="DBDBDB"/>
                        <w:bottom w:val="single" w:sz="6" w:space="8" w:color="DBDBDB"/>
                        <w:right w:val="single" w:sz="6" w:space="8" w:color="DBDBDB"/>
                      </w:divBdr>
                      <w:divsChild>
                        <w:div w:id="118528636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024135453">
      <w:bodyDiv w:val="1"/>
      <w:marLeft w:val="0"/>
      <w:marRight w:val="0"/>
      <w:marTop w:val="0"/>
      <w:marBottom w:val="0"/>
      <w:divBdr>
        <w:top w:val="none" w:sz="0" w:space="0" w:color="auto"/>
        <w:left w:val="none" w:sz="0" w:space="0" w:color="auto"/>
        <w:bottom w:val="none" w:sz="0" w:space="0" w:color="auto"/>
        <w:right w:val="none" w:sz="0" w:space="0" w:color="auto"/>
      </w:divBdr>
      <w:divsChild>
        <w:div w:id="244343046">
          <w:marLeft w:val="0"/>
          <w:marRight w:val="0"/>
          <w:marTop w:val="0"/>
          <w:marBottom w:val="0"/>
          <w:divBdr>
            <w:top w:val="single" w:sz="6" w:space="8" w:color="FFFFFF"/>
            <w:left w:val="single" w:sz="6" w:space="8" w:color="DBDBDB"/>
            <w:bottom w:val="single" w:sz="6" w:space="8" w:color="DBDBDB"/>
            <w:right w:val="single" w:sz="6" w:space="8" w:color="DBDBDB"/>
          </w:divBdr>
          <w:divsChild>
            <w:div w:id="1454783713">
              <w:marLeft w:val="0"/>
              <w:marRight w:val="0"/>
              <w:marTop w:val="0"/>
              <w:marBottom w:val="0"/>
              <w:divBdr>
                <w:top w:val="none" w:sz="0" w:space="0" w:color="auto"/>
                <w:left w:val="none" w:sz="0" w:space="0" w:color="auto"/>
                <w:bottom w:val="dotted" w:sz="6" w:space="8" w:color="CCCCCC"/>
                <w:right w:val="none" w:sz="0" w:space="0" w:color="auto"/>
              </w:divBdr>
            </w:div>
            <w:div w:id="28431642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5</Pages>
  <Words>1022</Words>
  <Characters>5622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Sandra Luz Carvajal Magaña</cp:lastModifiedBy>
  <cp:revision>9</cp:revision>
  <dcterms:created xsi:type="dcterms:W3CDTF">2016-05-28T05:11:00Z</dcterms:created>
  <dcterms:modified xsi:type="dcterms:W3CDTF">2016-05-28T20:12:00Z</dcterms:modified>
</cp:coreProperties>
</file>