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D772A5"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Rendición de Cuentas y Contraloría Social</w:t>
      </w:r>
    </w:p>
    <w:p w:rsidR="00852E05" w:rsidRDefault="00852E05" w:rsidP="00C62E2F">
      <w:pPr>
        <w:rPr>
          <w:rFonts w:ascii="Arial" w:eastAsia="Times New Roman" w:hAnsi="Arial" w:cs="Arial"/>
          <w:b/>
          <w:bCs/>
          <w:color w:val="222222"/>
          <w:sz w:val="36"/>
          <w:szCs w:val="36"/>
          <w:lang w:eastAsia="es-MX"/>
        </w:rPr>
      </w:pPr>
    </w:p>
    <w:p w:rsidR="00D772A5" w:rsidRDefault="00D772A5" w:rsidP="00C62E2F">
      <w:pPr>
        <w:rPr>
          <w:rFonts w:ascii="Arial" w:eastAsia="Times New Roman" w:hAnsi="Arial" w:cs="Arial"/>
          <w:b/>
          <w:bCs/>
          <w:color w:val="222222"/>
          <w:sz w:val="36"/>
          <w:szCs w:val="36"/>
          <w:lang w:eastAsia="es-MX"/>
        </w:rPr>
      </w:pPr>
    </w:p>
    <w:p w:rsidR="001A10ED" w:rsidRDefault="00557117" w:rsidP="001A10ED">
      <w:pPr>
        <w:jc w:val="center"/>
        <w:rPr>
          <w:rFonts w:ascii="Arial" w:eastAsia="Times New Roman" w:hAnsi="Arial" w:cs="Arial"/>
          <w:b/>
          <w:bCs/>
          <w:color w:val="222222"/>
          <w:sz w:val="36"/>
          <w:szCs w:val="36"/>
          <w:lang w:eastAsia="es-MX"/>
        </w:rPr>
      </w:pPr>
      <w:proofErr w:type="spellStart"/>
      <w:r>
        <w:rPr>
          <w:rFonts w:ascii="Arial" w:eastAsia="Times New Roman" w:hAnsi="Arial" w:cs="Arial"/>
          <w:b/>
          <w:bCs/>
          <w:color w:val="222222"/>
          <w:sz w:val="36"/>
          <w:szCs w:val="36"/>
          <w:lang w:eastAsia="es-MX"/>
        </w:rPr>
        <w:t>Intosai</w:t>
      </w:r>
      <w:proofErr w:type="spellEnd"/>
      <w:r>
        <w:rPr>
          <w:rFonts w:ascii="Arial" w:eastAsia="Times New Roman" w:hAnsi="Arial" w:cs="Arial"/>
          <w:b/>
          <w:bCs/>
          <w:color w:val="222222"/>
          <w:sz w:val="36"/>
          <w:szCs w:val="36"/>
          <w:lang w:eastAsia="es-MX"/>
        </w:rPr>
        <w:t xml:space="preserve"> Cuadro Comparativo</w:t>
      </w:r>
    </w:p>
    <w:p w:rsidR="00D772A5" w:rsidRDefault="00D772A5"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D772A5"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Mtra. Martha Laura Bolívar Meza</w:t>
      </w:r>
    </w:p>
    <w:p w:rsidR="001A1119" w:rsidRDefault="001A1119" w:rsidP="001A10ED">
      <w:pPr>
        <w:jc w:val="center"/>
        <w:rPr>
          <w:rFonts w:ascii="Arial" w:eastAsia="Times New Roman" w:hAnsi="Arial" w:cs="Arial"/>
          <w:b/>
          <w:bCs/>
          <w:color w:val="222222"/>
          <w:sz w:val="32"/>
          <w:szCs w:val="36"/>
          <w:lang w:eastAsia="es-MX"/>
        </w:rPr>
      </w:pPr>
    </w:p>
    <w:p w:rsidR="00D772A5" w:rsidRDefault="00D772A5" w:rsidP="001A10ED">
      <w:pPr>
        <w:jc w:val="center"/>
        <w:rPr>
          <w:rFonts w:ascii="Arial" w:eastAsia="Times New Roman" w:hAnsi="Arial" w:cs="Arial"/>
          <w:b/>
          <w:bCs/>
          <w:color w:val="222222"/>
          <w:sz w:val="32"/>
          <w:szCs w:val="36"/>
          <w:lang w:eastAsia="es-MX"/>
        </w:rPr>
      </w:pPr>
    </w:p>
    <w:p w:rsidR="00D772A5" w:rsidRDefault="00D772A5" w:rsidP="001A10ED">
      <w:pPr>
        <w:jc w:val="center"/>
        <w:rPr>
          <w:rFonts w:ascii="Arial" w:eastAsia="Times New Roman" w:hAnsi="Arial" w:cs="Arial"/>
          <w:b/>
          <w:bCs/>
          <w:color w:val="222222"/>
          <w:sz w:val="32"/>
          <w:szCs w:val="36"/>
          <w:lang w:eastAsia="es-MX"/>
        </w:rPr>
      </w:pPr>
    </w:p>
    <w:p w:rsidR="00D772A5" w:rsidRDefault="001A1119" w:rsidP="00D772A5">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D772A5" w:rsidRDefault="00557117" w:rsidP="006F75C0">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Junio 26</w:t>
      </w:r>
      <w:r w:rsidR="00D772A5">
        <w:rPr>
          <w:rFonts w:ascii="Arial" w:eastAsia="Times New Roman" w:hAnsi="Arial" w:cs="Arial"/>
          <w:b/>
          <w:bCs/>
          <w:color w:val="222222"/>
          <w:sz w:val="32"/>
          <w:szCs w:val="32"/>
          <w:lang w:eastAsia="es-MX"/>
        </w:rPr>
        <w:t>, 2016.</w:t>
      </w:r>
    </w:p>
    <w:p w:rsidR="00394B4C" w:rsidRDefault="00394B4C" w:rsidP="006F75C0">
      <w:pPr>
        <w:jc w:val="center"/>
        <w:rPr>
          <w:rFonts w:ascii="Arial" w:eastAsia="Times New Roman" w:hAnsi="Arial" w:cs="Arial"/>
          <w:b/>
          <w:bCs/>
          <w:color w:val="222222"/>
          <w:sz w:val="32"/>
          <w:szCs w:val="32"/>
          <w:lang w:eastAsia="es-MX"/>
        </w:rPr>
      </w:pPr>
    </w:p>
    <w:p w:rsidR="00394B4C" w:rsidRDefault="00394B4C" w:rsidP="00394B4C">
      <w:pPr>
        <w:jc w:val="both"/>
        <w:rPr>
          <w:rFonts w:ascii="Arial" w:eastAsia="Times New Roman" w:hAnsi="Arial" w:cs="Arial"/>
          <w:b/>
          <w:bCs/>
          <w:color w:val="222222"/>
          <w:sz w:val="24"/>
          <w:szCs w:val="24"/>
          <w:lang w:eastAsia="es-MX"/>
        </w:rPr>
      </w:pPr>
      <w:r w:rsidRPr="00394B4C">
        <w:rPr>
          <w:rFonts w:ascii="Arial" w:eastAsia="Times New Roman" w:hAnsi="Arial" w:cs="Arial"/>
          <w:b/>
          <w:bCs/>
          <w:color w:val="222222"/>
          <w:sz w:val="24"/>
          <w:szCs w:val="24"/>
          <w:lang w:eastAsia="es-MX"/>
        </w:rPr>
        <w:t>Introducción</w:t>
      </w:r>
    </w:p>
    <w:p w:rsidR="007579FD" w:rsidRDefault="00394B4C" w:rsidP="00394B4C">
      <w:pPr>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A nivel mundial, dado el mundo globalizado en el que vivimos; el tema de la vigilancia a las funciones de un gobierno, la revisión al cumplimiento de sus tareas, así como la ayuda que se pueda proporcionar desde el organismo de control, en nuestro país llamada Secretaría de la Función Pública, es de suma importancia, ya que es un elemento esencial para mantener con claridad y transparencia la gobernanza de un Estado. Es por el</w:t>
      </w:r>
      <w:r w:rsidR="007579FD">
        <w:rPr>
          <w:rFonts w:ascii="Arial" w:eastAsia="Times New Roman" w:hAnsi="Arial" w:cs="Arial"/>
          <w:bCs/>
          <w:color w:val="222222"/>
          <w:sz w:val="24"/>
          <w:szCs w:val="24"/>
          <w:lang w:eastAsia="es-MX"/>
        </w:rPr>
        <w:t>lo que existe los lineamientos para su adecuado cumplimiento.</w:t>
      </w:r>
    </w:p>
    <w:p w:rsidR="007579FD" w:rsidRDefault="007579FD" w:rsidP="00394B4C">
      <w:pPr>
        <w:jc w:val="both"/>
        <w:rPr>
          <w:rFonts w:ascii="Arial" w:eastAsia="Times New Roman" w:hAnsi="Arial" w:cs="Arial"/>
          <w:bCs/>
          <w:color w:val="222222"/>
          <w:sz w:val="24"/>
          <w:szCs w:val="24"/>
          <w:lang w:eastAsia="es-MX"/>
        </w:rPr>
      </w:pPr>
    </w:p>
    <w:p w:rsidR="007579FD" w:rsidRDefault="007579FD" w:rsidP="00394B4C">
      <w:pPr>
        <w:jc w:val="both"/>
        <w:rPr>
          <w:rFonts w:ascii="Arial" w:eastAsia="Times New Roman" w:hAnsi="Arial" w:cs="Arial"/>
          <w:bCs/>
          <w:color w:val="222222"/>
          <w:sz w:val="24"/>
          <w:szCs w:val="24"/>
          <w:lang w:eastAsia="es-MX"/>
        </w:rPr>
      </w:pPr>
    </w:p>
    <w:p w:rsidR="007579FD" w:rsidRDefault="007579FD" w:rsidP="00394B4C">
      <w:pPr>
        <w:jc w:val="both"/>
        <w:rPr>
          <w:rFonts w:ascii="Arial" w:eastAsia="Times New Roman" w:hAnsi="Arial" w:cs="Arial"/>
          <w:bCs/>
          <w:color w:val="222222"/>
          <w:sz w:val="24"/>
          <w:szCs w:val="24"/>
          <w:lang w:eastAsia="es-MX"/>
        </w:rPr>
      </w:pPr>
    </w:p>
    <w:p w:rsidR="007579FD" w:rsidRPr="007579FD" w:rsidRDefault="007579FD" w:rsidP="00394B4C">
      <w:pPr>
        <w:jc w:val="both"/>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Cuadro Comparativo con observaciones personales</w:t>
      </w:r>
      <w:r>
        <w:rPr>
          <w:rFonts w:ascii="Arial" w:eastAsia="Times New Roman" w:hAnsi="Arial" w:cs="Arial"/>
          <w:b/>
          <w:bCs/>
          <w:color w:val="222222"/>
          <w:sz w:val="24"/>
          <w:szCs w:val="24"/>
          <w:lang w:eastAsia="es-MX"/>
        </w:rPr>
        <w:t>.</w:t>
      </w:r>
    </w:p>
    <w:tbl>
      <w:tblPr>
        <w:tblStyle w:val="Tablaconcuadrcula"/>
        <w:tblW w:w="0" w:type="auto"/>
        <w:tblLook w:val="04A0" w:firstRow="1" w:lastRow="0" w:firstColumn="1" w:lastColumn="0" w:noHBand="0" w:noVBand="1"/>
      </w:tblPr>
      <w:tblGrid>
        <w:gridCol w:w="934"/>
        <w:gridCol w:w="2665"/>
        <w:gridCol w:w="1744"/>
        <w:gridCol w:w="1793"/>
        <w:gridCol w:w="1692"/>
      </w:tblGrid>
      <w:tr w:rsidR="007579FD" w:rsidRPr="007579FD" w:rsidTr="007579FD">
        <w:trPr>
          <w:trHeight w:val="1575"/>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w:t>
            </w:r>
          </w:p>
        </w:tc>
        <w:tc>
          <w:tcPr>
            <w:tcW w:w="3360" w:type="dxa"/>
            <w:vMerge w:val="restart"/>
            <w:hideMark/>
          </w:tcPr>
          <w:p w:rsidR="007579FD" w:rsidRDefault="007579FD" w:rsidP="007579FD">
            <w:pPr>
              <w:jc w:val="center"/>
              <w:rPr>
                <w:rFonts w:ascii="Arial" w:eastAsia="Times New Roman" w:hAnsi="Arial" w:cs="Arial"/>
                <w:b/>
                <w:bCs/>
                <w:color w:val="222222"/>
                <w:sz w:val="24"/>
                <w:szCs w:val="24"/>
                <w:lang w:eastAsia="es-MX"/>
              </w:rPr>
            </w:pPr>
          </w:p>
          <w:p w:rsidR="007579FD" w:rsidRPr="007579FD" w:rsidRDefault="007579FD" w:rsidP="007579FD">
            <w:pPr>
              <w:jc w:val="center"/>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Los principios de la Declaración de Lima sobre las Líneas Básicas de la Fiscalización</w:t>
            </w:r>
          </w:p>
        </w:tc>
        <w:tc>
          <w:tcPr>
            <w:tcW w:w="3220" w:type="dxa"/>
            <w:vMerge w:val="restart"/>
            <w:hideMark/>
          </w:tcPr>
          <w:p w:rsidR="007579FD" w:rsidRDefault="007579FD" w:rsidP="007579FD">
            <w:pPr>
              <w:jc w:val="center"/>
              <w:rPr>
                <w:rFonts w:ascii="Arial" w:eastAsia="Times New Roman" w:hAnsi="Arial" w:cs="Arial"/>
                <w:b/>
                <w:bCs/>
                <w:color w:val="222222"/>
                <w:sz w:val="24"/>
                <w:szCs w:val="24"/>
                <w:lang w:eastAsia="es-MX"/>
              </w:rPr>
            </w:pPr>
          </w:p>
          <w:p w:rsidR="007579FD" w:rsidRPr="007579FD" w:rsidRDefault="007579FD" w:rsidP="007579FD">
            <w:pPr>
              <w:jc w:val="center"/>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Los principios de la Declaración de México sobre Independencia de las Entidades Fiscalizadoras Superiores</w:t>
            </w:r>
          </w:p>
        </w:tc>
        <w:tc>
          <w:tcPr>
            <w:tcW w:w="4240" w:type="dxa"/>
            <w:gridSpan w:val="2"/>
            <w:hideMark/>
          </w:tcPr>
          <w:p w:rsidR="007579FD" w:rsidRPr="007579FD" w:rsidRDefault="007579FD" w:rsidP="007579FD">
            <w:pPr>
              <w:jc w:val="center"/>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Fundamento Legal. Art. 79 Constitucional de los principios de la Declaración de México sobre Independencia de las Entidades Fiscalizadoras Superiores</w:t>
            </w:r>
          </w:p>
        </w:tc>
      </w:tr>
      <w:tr w:rsidR="007579FD" w:rsidRPr="007579FD" w:rsidTr="007579FD">
        <w:trPr>
          <w:trHeight w:val="1905"/>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c>
          <w:tcPr>
            <w:tcW w:w="3360" w:type="dxa"/>
            <w:vMerge/>
            <w:hideMark/>
          </w:tcPr>
          <w:p w:rsidR="007579FD" w:rsidRPr="007579FD" w:rsidRDefault="007579FD" w:rsidP="007579FD">
            <w:pPr>
              <w:jc w:val="both"/>
              <w:rPr>
                <w:rFonts w:ascii="Arial" w:eastAsia="Times New Roman" w:hAnsi="Arial" w:cs="Arial"/>
                <w:b/>
                <w:bCs/>
                <w:color w:val="222222"/>
                <w:sz w:val="24"/>
                <w:szCs w:val="24"/>
                <w:lang w:eastAsia="es-MX"/>
              </w:rPr>
            </w:pPr>
          </w:p>
        </w:tc>
        <w:tc>
          <w:tcPr>
            <w:tcW w:w="3220" w:type="dxa"/>
            <w:vMerge/>
            <w:hideMark/>
          </w:tcPr>
          <w:p w:rsidR="007579FD" w:rsidRPr="007579FD" w:rsidRDefault="007579FD" w:rsidP="007579FD">
            <w:pPr>
              <w:jc w:val="both"/>
              <w:rPr>
                <w:rFonts w:ascii="Arial" w:eastAsia="Times New Roman" w:hAnsi="Arial" w:cs="Arial"/>
                <w:b/>
                <w:bCs/>
                <w:color w:val="222222"/>
                <w:sz w:val="24"/>
                <w:szCs w:val="24"/>
                <w:lang w:eastAsia="es-MX"/>
              </w:rPr>
            </w:pPr>
          </w:p>
        </w:tc>
        <w:tc>
          <w:tcPr>
            <w:tcW w:w="2240" w:type="dxa"/>
            <w:noWrap/>
            <w:hideMark/>
          </w:tcPr>
          <w:p w:rsidR="007579FD" w:rsidRDefault="007579FD" w:rsidP="007579FD">
            <w:pPr>
              <w:jc w:val="center"/>
              <w:rPr>
                <w:rFonts w:ascii="Arial" w:eastAsia="Times New Roman" w:hAnsi="Arial" w:cs="Arial"/>
                <w:b/>
                <w:bCs/>
                <w:color w:val="222222"/>
                <w:sz w:val="24"/>
                <w:szCs w:val="24"/>
                <w:lang w:eastAsia="es-MX"/>
              </w:rPr>
            </w:pPr>
          </w:p>
          <w:p w:rsidR="007579FD" w:rsidRDefault="007579FD" w:rsidP="007579FD">
            <w:pPr>
              <w:jc w:val="center"/>
              <w:rPr>
                <w:rFonts w:ascii="Arial" w:eastAsia="Times New Roman" w:hAnsi="Arial" w:cs="Arial"/>
                <w:b/>
                <w:bCs/>
                <w:color w:val="222222"/>
                <w:sz w:val="24"/>
                <w:szCs w:val="24"/>
                <w:lang w:eastAsia="es-MX"/>
              </w:rPr>
            </w:pPr>
          </w:p>
          <w:p w:rsidR="007579FD" w:rsidRPr="007579FD" w:rsidRDefault="007579FD" w:rsidP="007579FD">
            <w:pPr>
              <w:jc w:val="center"/>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Si Cumple</w:t>
            </w:r>
          </w:p>
        </w:tc>
        <w:tc>
          <w:tcPr>
            <w:tcW w:w="2000" w:type="dxa"/>
            <w:noWrap/>
            <w:hideMark/>
          </w:tcPr>
          <w:p w:rsidR="007579FD" w:rsidRDefault="007579FD" w:rsidP="007579FD">
            <w:pPr>
              <w:jc w:val="center"/>
              <w:rPr>
                <w:rFonts w:ascii="Arial" w:eastAsia="Times New Roman" w:hAnsi="Arial" w:cs="Arial"/>
                <w:b/>
                <w:bCs/>
                <w:color w:val="222222"/>
                <w:sz w:val="24"/>
                <w:szCs w:val="24"/>
                <w:lang w:eastAsia="es-MX"/>
              </w:rPr>
            </w:pPr>
          </w:p>
          <w:p w:rsidR="007579FD" w:rsidRDefault="007579FD" w:rsidP="007579FD">
            <w:pPr>
              <w:jc w:val="center"/>
              <w:rPr>
                <w:rFonts w:ascii="Arial" w:eastAsia="Times New Roman" w:hAnsi="Arial" w:cs="Arial"/>
                <w:b/>
                <w:bCs/>
                <w:color w:val="222222"/>
                <w:sz w:val="24"/>
                <w:szCs w:val="24"/>
                <w:lang w:eastAsia="es-MX"/>
              </w:rPr>
            </w:pPr>
          </w:p>
          <w:p w:rsidR="007579FD" w:rsidRPr="007579FD" w:rsidRDefault="007579FD" w:rsidP="007579FD">
            <w:pPr>
              <w:jc w:val="center"/>
              <w:rPr>
                <w:rFonts w:ascii="Arial" w:eastAsia="Times New Roman" w:hAnsi="Arial" w:cs="Arial"/>
                <w:b/>
                <w:bCs/>
                <w:color w:val="222222"/>
                <w:sz w:val="24"/>
                <w:szCs w:val="24"/>
                <w:lang w:eastAsia="es-MX"/>
              </w:rPr>
            </w:pPr>
            <w:r w:rsidRPr="007579FD">
              <w:rPr>
                <w:rFonts w:ascii="Arial" w:eastAsia="Times New Roman" w:hAnsi="Arial" w:cs="Arial"/>
                <w:b/>
                <w:bCs/>
                <w:color w:val="222222"/>
                <w:sz w:val="24"/>
                <w:szCs w:val="24"/>
                <w:lang w:eastAsia="es-MX"/>
              </w:rPr>
              <w:t>No Cumple</w:t>
            </w:r>
          </w:p>
        </w:tc>
      </w:tr>
      <w:tr w:rsidR="007579FD" w:rsidRPr="007579FD" w:rsidTr="007579FD">
        <w:trPr>
          <w:trHeight w:val="3030"/>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1</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La existencia de un marco constitucional, reglamentario o legal apropiado y </w:t>
            </w:r>
            <w:proofErr w:type="spellStart"/>
            <w:r w:rsidRPr="007579FD">
              <w:rPr>
                <w:rFonts w:ascii="Arial" w:eastAsia="Times New Roman" w:hAnsi="Arial" w:cs="Arial"/>
                <w:bCs/>
                <w:color w:val="222222"/>
                <w:sz w:val="24"/>
                <w:szCs w:val="24"/>
                <w:lang w:eastAsia="es-MX"/>
              </w:rPr>
              <w:t>eﬁcaz</w:t>
            </w:r>
            <w:proofErr w:type="spellEnd"/>
            <w:r w:rsidRPr="007579FD">
              <w:rPr>
                <w:rFonts w:ascii="Arial" w:eastAsia="Times New Roman" w:hAnsi="Arial" w:cs="Arial"/>
                <w:bCs/>
                <w:color w:val="222222"/>
                <w:sz w:val="24"/>
                <w:szCs w:val="24"/>
                <w:lang w:eastAsia="es-MX"/>
              </w:rPr>
              <w:t xml:space="preserve">, así como de disposiciones para la aplicación de facto de dicho marco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Se requiere legislación que establezca, de manera detallada, el alcance de la independencia de la EFS</w:t>
            </w:r>
          </w:p>
        </w:tc>
        <w:tc>
          <w:tcPr>
            <w:tcW w:w="224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Si.   Cumple al existir la Secretaría de la Función Pública </w:t>
            </w:r>
            <w:r>
              <w:rPr>
                <w:rFonts w:ascii="Arial" w:eastAsia="Times New Roman" w:hAnsi="Arial" w:cs="Arial"/>
                <w:bCs/>
                <w:color w:val="222222"/>
                <w:sz w:val="24"/>
                <w:szCs w:val="24"/>
                <w:lang w:eastAsia="es-MX"/>
              </w:rPr>
              <w:t>y el Instituto Nacional de Trans</w:t>
            </w:r>
            <w:r w:rsidRPr="007579FD">
              <w:rPr>
                <w:rFonts w:ascii="Arial" w:eastAsia="Times New Roman" w:hAnsi="Arial" w:cs="Arial"/>
                <w:bCs/>
                <w:color w:val="222222"/>
                <w:sz w:val="24"/>
                <w:szCs w:val="24"/>
                <w:lang w:eastAsia="es-MX"/>
              </w:rPr>
              <w:t>parencia y Acceso a la Información Pública, emanados de la Ley Orgánica de la Administración Pública</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No se da cumplimiento, respecto al artículo 79 constitucional, ya que en él no se refiere a la Auditoría Superior.</w:t>
            </w:r>
          </w:p>
        </w:tc>
      </w:tr>
      <w:tr w:rsidR="007579FD" w:rsidRPr="007579FD" w:rsidTr="007579FD">
        <w:trPr>
          <w:trHeight w:val="4335"/>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2</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 independencia de la Autoridad Superior de la EFS, y de los “miembros” (para el caso de instituciones colegiadas), incluyendo la seguridad en el cargo y la inmunidad legal en el cumplimiento normal de sus obligaciones</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La legislación aplicable </w:t>
            </w:r>
            <w:proofErr w:type="spellStart"/>
            <w:r w:rsidRPr="007579FD">
              <w:rPr>
                <w:rFonts w:ascii="Arial" w:eastAsia="Times New Roman" w:hAnsi="Arial" w:cs="Arial"/>
                <w:bCs/>
                <w:color w:val="222222"/>
                <w:sz w:val="24"/>
                <w:szCs w:val="24"/>
                <w:lang w:eastAsia="es-MX"/>
              </w:rPr>
              <w:t>especiﬁca</w:t>
            </w:r>
            <w:proofErr w:type="spellEnd"/>
            <w:r w:rsidRPr="007579FD">
              <w:rPr>
                <w:rFonts w:ascii="Arial" w:eastAsia="Times New Roman" w:hAnsi="Arial" w:cs="Arial"/>
                <w:bCs/>
                <w:color w:val="222222"/>
                <w:sz w:val="24"/>
                <w:szCs w:val="24"/>
                <w:lang w:eastAsia="es-MX"/>
              </w:rPr>
              <w:t xml:space="preserve"> las condiciones para las designaciones, reelecciones, contratación, destitución y retiro de la autoridad superior de la EFS y de los “miembros” en las instituciones colegiadas, quienes son designados, reelectos o destituidos mediante un proceso que asegure su independencia del Poder Ejecutivo</w:t>
            </w:r>
          </w:p>
        </w:tc>
        <w:tc>
          <w:tcPr>
            <w:tcW w:w="224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DOF del 10/04/2003: Se decreta la creación de la Ley del Servicio Profesional de Carrera de la Administración Pública Federal, existen modificaciones a la Ley Orgánica donde se le confiere a la Secretaría de la Función Pública, la atribución para dirigir y administrar dicho </w:t>
            </w:r>
            <w:proofErr w:type="spellStart"/>
            <w:r w:rsidRPr="007579FD">
              <w:rPr>
                <w:rFonts w:ascii="Arial" w:eastAsia="Times New Roman" w:hAnsi="Arial" w:cs="Arial"/>
                <w:bCs/>
                <w:color w:val="222222"/>
                <w:sz w:val="24"/>
                <w:szCs w:val="24"/>
                <w:lang w:eastAsia="es-MX"/>
              </w:rPr>
              <w:t>ordenamienta</w:t>
            </w:r>
            <w:proofErr w:type="spellEnd"/>
            <w:r w:rsidRPr="007579FD">
              <w:rPr>
                <w:rFonts w:ascii="Arial" w:eastAsia="Times New Roman" w:hAnsi="Arial" w:cs="Arial"/>
                <w:bCs/>
                <w:color w:val="222222"/>
                <w:sz w:val="24"/>
                <w:szCs w:val="24"/>
                <w:lang w:eastAsia="es-MX"/>
              </w:rPr>
              <w:t xml:space="preserve"> respecto al funcionario a contratar</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No se cumple, porque esa Ley no se ha logrado aterrizar ni ejecutar, debido a los problemas existentes de nepotismo y corrupción en nuestro medio. Se contrata al amigo, al compadre o familiar, así como al recomendado. </w:t>
            </w:r>
            <w:r>
              <w:rPr>
                <w:rStyle w:val="Refdenotaalpie"/>
                <w:rFonts w:ascii="Arial" w:eastAsia="Times New Roman" w:hAnsi="Arial" w:cs="Arial"/>
                <w:bCs/>
                <w:color w:val="222222"/>
                <w:sz w:val="24"/>
                <w:szCs w:val="24"/>
                <w:lang w:eastAsia="es-MX"/>
              </w:rPr>
              <w:footnoteReference w:id="1"/>
            </w:r>
          </w:p>
        </w:tc>
      </w:tr>
      <w:tr w:rsidR="007579FD" w:rsidRPr="007579FD" w:rsidTr="007579FD">
        <w:trPr>
          <w:trHeight w:val="5430"/>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3</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Un mandato </w:t>
            </w:r>
            <w:proofErr w:type="spellStart"/>
            <w:r w:rsidRPr="007579FD">
              <w:rPr>
                <w:rFonts w:ascii="Arial" w:eastAsia="Times New Roman" w:hAnsi="Arial" w:cs="Arial"/>
                <w:bCs/>
                <w:color w:val="222222"/>
                <w:sz w:val="24"/>
                <w:szCs w:val="24"/>
                <w:lang w:eastAsia="es-MX"/>
              </w:rPr>
              <w:t>suﬁcientemente</w:t>
            </w:r>
            <w:proofErr w:type="spellEnd"/>
            <w:r w:rsidRPr="007579FD">
              <w:rPr>
                <w:rFonts w:ascii="Arial" w:eastAsia="Times New Roman" w:hAnsi="Arial" w:cs="Arial"/>
                <w:bCs/>
                <w:color w:val="222222"/>
                <w:sz w:val="24"/>
                <w:szCs w:val="24"/>
                <w:lang w:eastAsia="es-MX"/>
              </w:rPr>
              <w:t xml:space="preserve"> amplio y facultades plenamente discrecionales en el cumplimiento de las funciones de la EFS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Las EFS deben tener atribuciones para auditar: • la utilización de los dineros, recursos o activos públicos por parte de un receptor o </w:t>
            </w:r>
            <w:proofErr w:type="spellStart"/>
            <w:r w:rsidRPr="007579FD">
              <w:rPr>
                <w:rFonts w:ascii="Arial" w:eastAsia="Times New Roman" w:hAnsi="Arial" w:cs="Arial"/>
                <w:bCs/>
                <w:color w:val="222222"/>
                <w:sz w:val="24"/>
                <w:szCs w:val="24"/>
                <w:lang w:eastAsia="es-MX"/>
              </w:rPr>
              <w:t>beneﬁciario</w:t>
            </w:r>
            <w:proofErr w:type="spellEnd"/>
            <w:r w:rsidRPr="007579FD">
              <w:rPr>
                <w:rFonts w:ascii="Arial" w:eastAsia="Times New Roman" w:hAnsi="Arial" w:cs="Arial"/>
                <w:bCs/>
                <w:color w:val="222222"/>
                <w:sz w:val="24"/>
                <w:szCs w:val="24"/>
                <w:lang w:eastAsia="es-MX"/>
              </w:rPr>
              <w:t xml:space="preserve">; • la recaudación de ingresos (rentas) adeudadas al gobierno o a instituciones públicas; • la legalidad y la regularidad de la contabilidad del gobierno o de las instituciones públicas; • la calidad de la administración e información </w:t>
            </w:r>
            <w:proofErr w:type="spellStart"/>
            <w:r w:rsidRPr="007579FD">
              <w:rPr>
                <w:rFonts w:ascii="Arial" w:eastAsia="Times New Roman" w:hAnsi="Arial" w:cs="Arial"/>
                <w:bCs/>
                <w:color w:val="222222"/>
                <w:sz w:val="24"/>
                <w:szCs w:val="24"/>
                <w:lang w:eastAsia="es-MX"/>
              </w:rPr>
              <w:t>ﬁnanciera</w:t>
            </w:r>
            <w:proofErr w:type="spellEnd"/>
            <w:r w:rsidRPr="007579FD">
              <w:rPr>
                <w:rFonts w:ascii="Arial" w:eastAsia="Times New Roman" w:hAnsi="Arial" w:cs="Arial"/>
                <w:bCs/>
                <w:color w:val="222222"/>
                <w:sz w:val="24"/>
                <w:szCs w:val="24"/>
                <w:lang w:eastAsia="es-MX"/>
              </w:rPr>
              <w:t xml:space="preserve">; y • la economía, </w:t>
            </w:r>
            <w:proofErr w:type="spellStart"/>
            <w:r w:rsidRPr="007579FD">
              <w:rPr>
                <w:rFonts w:ascii="Arial" w:eastAsia="Times New Roman" w:hAnsi="Arial" w:cs="Arial"/>
                <w:bCs/>
                <w:color w:val="222222"/>
                <w:sz w:val="24"/>
                <w:szCs w:val="24"/>
                <w:lang w:eastAsia="es-MX"/>
              </w:rPr>
              <w:t>eﬁciencia</w:t>
            </w:r>
            <w:proofErr w:type="spellEnd"/>
            <w:r w:rsidRPr="007579FD">
              <w:rPr>
                <w:rFonts w:ascii="Arial" w:eastAsia="Times New Roman" w:hAnsi="Arial" w:cs="Arial"/>
                <w:bCs/>
                <w:color w:val="222222"/>
                <w:sz w:val="24"/>
                <w:szCs w:val="24"/>
                <w:lang w:eastAsia="es-MX"/>
              </w:rPr>
              <w:t xml:space="preserve"> y </w:t>
            </w:r>
            <w:proofErr w:type="spellStart"/>
            <w:r w:rsidRPr="007579FD">
              <w:rPr>
                <w:rFonts w:ascii="Arial" w:eastAsia="Times New Roman" w:hAnsi="Arial" w:cs="Arial"/>
                <w:bCs/>
                <w:color w:val="222222"/>
                <w:sz w:val="24"/>
                <w:szCs w:val="24"/>
                <w:lang w:eastAsia="es-MX"/>
              </w:rPr>
              <w:t>eﬁcacia</w:t>
            </w:r>
            <w:proofErr w:type="spellEnd"/>
            <w:r w:rsidRPr="007579FD">
              <w:rPr>
                <w:rFonts w:ascii="Arial" w:eastAsia="Times New Roman" w:hAnsi="Arial" w:cs="Arial"/>
                <w:bCs/>
                <w:color w:val="222222"/>
                <w:sz w:val="24"/>
                <w:szCs w:val="24"/>
                <w:lang w:eastAsia="es-MX"/>
              </w:rPr>
              <w:t xml:space="preserve"> de las operaciones del gobierno o de las instituciones públicas. </w:t>
            </w:r>
          </w:p>
        </w:tc>
        <w:tc>
          <w:tcPr>
            <w:tcW w:w="224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Si.   </w:t>
            </w:r>
            <w:proofErr w:type="gramStart"/>
            <w:r w:rsidRPr="007579FD">
              <w:rPr>
                <w:rFonts w:ascii="Arial" w:eastAsia="Times New Roman" w:hAnsi="Arial" w:cs="Arial"/>
                <w:bCs/>
                <w:color w:val="222222"/>
                <w:sz w:val="24"/>
                <w:szCs w:val="24"/>
                <w:lang w:eastAsia="es-MX"/>
              </w:rPr>
              <w:t>Su atribuciones</w:t>
            </w:r>
            <w:proofErr w:type="gramEnd"/>
            <w:r w:rsidRPr="007579FD">
              <w:rPr>
                <w:rFonts w:ascii="Arial" w:eastAsia="Times New Roman" w:hAnsi="Arial" w:cs="Arial"/>
                <w:bCs/>
                <w:color w:val="222222"/>
                <w:sz w:val="24"/>
                <w:szCs w:val="24"/>
                <w:lang w:eastAsia="es-MX"/>
              </w:rPr>
              <w:t xml:space="preserve"> son claramente escritas en la última publicación del DOF 27 de mayo del 2005 donde se especifican sus actuales </w:t>
            </w:r>
            <w:proofErr w:type="spellStart"/>
            <w:r w:rsidRPr="007579FD">
              <w:rPr>
                <w:rFonts w:ascii="Arial" w:eastAsia="Times New Roman" w:hAnsi="Arial" w:cs="Arial"/>
                <w:bCs/>
                <w:color w:val="222222"/>
                <w:sz w:val="24"/>
                <w:szCs w:val="24"/>
                <w:lang w:eastAsia="es-MX"/>
              </w:rPr>
              <w:t>facutades</w:t>
            </w:r>
            <w:proofErr w:type="spellEnd"/>
          </w:p>
        </w:tc>
        <w:tc>
          <w:tcPr>
            <w:tcW w:w="200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r>
      <w:tr w:rsidR="007579FD" w:rsidRPr="007579FD" w:rsidTr="007579FD">
        <w:trPr>
          <w:trHeight w:val="2730"/>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4</w:t>
            </w:r>
          </w:p>
        </w:tc>
        <w:tc>
          <w:tcPr>
            <w:tcW w:w="336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Acceso irrestricto a la información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Las EFS deben disponer de las potestades adecuadas para tener acceso oportuno, ilimitado, directo y libre, a toda la documentación y la información necesaria para el apropiado cumplimiento de sus responsabilidades reglamentarias</w:t>
            </w:r>
          </w:p>
        </w:tc>
        <w:tc>
          <w:tcPr>
            <w:tcW w:w="224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Si.    Este organismo cuenta con las facultades inherentes a sus funciones.</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r>
      <w:tr w:rsidR="007579FD" w:rsidRPr="007579FD" w:rsidTr="007579FD">
        <w:trPr>
          <w:trHeight w:val="3180"/>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5</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El derecho y la obligación de informar sobre su trabajo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Las EFS no deben estar impedidas de informar sobre los resultados de su trabajo de auditoría.  Deben estar obligadas por ley a informar por lo menos una vez al año sobre los resultados de su trabajo de auditoría</w:t>
            </w:r>
          </w:p>
        </w:tc>
        <w:tc>
          <w:tcPr>
            <w:tcW w:w="2240" w:type="dxa"/>
            <w:hideMark/>
          </w:tcPr>
          <w:p w:rsidR="007579FD" w:rsidRPr="007579FD" w:rsidRDefault="007579FD" w:rsidP="003E3B40">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Sí. Aunque se cuenta con una ley exprofeso, dentro de su página,</w:t>
            </w:r>
            <w:r w:rsidR="003E3B40">
              <w:rPr>
                <w:rStyle w:val="Refdenotaalpie"/>
                <w:rFonts w:ascii="Arial" w:eastAsia="Times New Roman" w:hAnsi="Arial" w:cs="Arial"/>
                <w:bCs/>
                <w:color w:val="222222"/>
                <w:sz w:val="24"/>
                <w:szCs w:val="24"/>
                <w:lang w:eastAsia="es-MX"/>
              </w:rPr>
              <w:footnoteReference w:id="2"/>
            </w:r>
            <w:r w:rsidRPr="007579FD">
              <w:rPr>
                <w:rFonts w:ascii="Arial" w:eastAsia="Times New Roman" w:hAnsi="Arial" w:cs="Arial"/>
                <w:bCs/>
                <w:color w:val="222222"/>
                <w:sz w:val="24"/>
                <w:szCs w:val="24"/>
                <w:lang w:eastAsia="es-MX"/>
              </w:rPr>
              <w:t xml:space="preserve"> no existen in</w:t>
            </w:r>
            <w:r w:rsidR="003E3B40">
              <w:rPr>
                <w:rFonts w:ascii="Arial" w:eastAsia="Times New Roman" w:hAnsi="Arial" w:cs="Arial"/>
                <w:bCs/>
                <w:color w:val="222222"/>
                <w:sz w:val="24"/>
                <w:szCs w:val="24"/>
                <w:lang w:eastAsia="es-MX"/>
              </w:rPr>
              <w:t xml:space="preserve">formación clara </w:t>
            </w:r>
            <w:r w:rsidRPr="007579FD">
              <w:rPr>
                <w:rFonts w:ascii="Arial" w:eastAsia="Times New Roman" w:hAnsi="Arial" w:cs="Arial"/>
                <w:bCs/>
                <w:color w:val="222222"/>
                <w:sz w:val="24"/>
                <w:szCs w:val="24"/>
                <w:lang w:eastAsia="es-MX"/>
              </w:rPr>
              <w:t xml:space="preserve">con indicadores del </w:t>
            </w:r>
            <w:proofErr w:type="spellStart"/>
            <w:r w:rsidRPr="007579FD">
              <w:rPr>
                <w:rFonts w:ascii="Arial" w:eastAsia="Times New Roman" w:hAnsi="Arial" w:cs="Arial"/>
                <w:bCs/>
                <w:color w:val="222222"/>
                <w:sz w:val="24"/>
                <w:szCs w:val="24"/>
                <w:lang w:eastAsia="es-MX"/>
              </w:rPr>
              <w:t>desemempeñ</w:t>
            </w:r>
            <w:r w:rsidR="003E3B40">
              <w:rPr>
                <w:rFonts w:ascii="Arial" w:eastAsia="Times New Roman" w:hAnsi="Arial" w:cs="Arial"/>
                <w:bCs/>
                <w:color w:val="222222"/>
                <w:sz w:val="24"/>
                <w:szCs w:val="24"/>
                <w:lang w:eastAsia="es-MX"/>
              </w:rPr>
              <w:t>o</w:t>
            </w:r>
            <w:proofErr w:type="spellEnd"/>
            <w:r w:rsidRPr="007579FD">
              <w:rPr>
                <w:rFonts w:ascii="Arial" w:eastAsia="Times New Roman" w:hAnsi="Arial" w:cs="Arial"/>
                <w:bCs/>
                <w:color w:val="222222"/>
                <w:sz w:val="24"/>
                <w:szCs w:val="24"/>
                <w:lang w:eastAsia="es-MX"/>
              </w:rPr>
              <w:t xml:space="preserve"> que permita apreciar si un plan o programa fue eficiente.</w:t>
            </w:r>
            <w:r>
              <w:rPr>
                <w:rStyle w:val="Refdenotaalpie"/>
                <w:rFonts w:ascii="Arial" w:eastAsia="Times New Roman" w:hAnsi="Arial" w:cs="Arial"/>
                <w:bCs/>
                <w:color w:val="222222"/>
                <w:sz w:val="24"/>
                <w:szCs w:val="24"/>
                <w:lang w:eastAsia="es-MX"/>
              </w:rPr>
              <w:footnoteReference w:id="3"/>
            </w:r>
          </w:p>
        </w:tc>
        <w:tc>
          <w:tcPr>
            <w:tcW w:w="200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r>
      <w:tr w:rsidR="007579FD" w:rsidRPr="007579FD" w:rsidTr="007579FD">
        <w:trPr>
          <w:trHeight w:val="3195"/>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6</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Libertad de decidir el contenido y la oportunidad (momento) de sus informes de auditoría, al igual que sobre su publicación y divulgación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Las EFS tienen libertad para decidir el contenido de sus informes de auditoría</w:t>
            </w:r>
          </w:p>
        </w:tc>
        <w:tc>
          <w:tcPr>
            <w:tcW w:w="224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Si lo tiene</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El hecho que la información que se divulga no es completa o le faltan indicadores, no se puede considerar que </w:t>
            </w:r>
            <w:proofErr w:type="spellStart"/>
            <w:r w:rsidRPr="007579FD">
              <w:rPr>
                <w:rFonts w:ascii="Arial" w:eastAsia="Times New Roman" w:hAnsi="Arial" w:cs="Arial"/>
                <w:bCs/>
                <w:color w:val="222222"/>
                <w:sz w:val="24"/>
                <w:szCs w:val="24"/>
                <w:lang w:eastAsia="es-MX"/>
              </w:rPr>
              <w:t>inclumple</w:t>
            </w:r>
            <w:proofErr w:type="spellEnd"/>
            <w:r w:rsidRPr="007579FD">
              <w:rPr>
                <w:rFonts w:ascii="Arial" w:eastAsia="Times New Roman" w:hAnsi="Arial" w:cs="Arial"/>
                <w:bCs/>
                <w:color w:val="222222"/>
                <w:sz w:val="24"/>
                <w:szCs w:val="24"/>
                <w:lang w:eastAsia="es-MX"/>
              </w:rPr>
              <w:t xml:space="preserve"> con los mecanismos</w:t>
            </w:r>
          </w:p>
        </w:tc>
      </w:tr>
      <w:tr w:rsidR="007579FD" w:rsidRPr="007579FD" w:rsidTr="007579FD">
        <w:trPr>
          <w:trHeight w:val="2325"/>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7</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La existencia de mecanismos </w:t>
            </w:r>
            <w:proofErr w:type="spellStart"/>
            <w:r w:rsidRPr="007579FD">
              <w:rPr>
                <w:rFonts w:ascii="Arial" w:eastAsia="Times New Roman" w:hAnsi="Arial" w:cs="Arial"/>
                <w:bCs/>
                <w:color w:val="222222"/>
                <w:sz w:val="24"/>
                <w:szCs w:val="24"/>
                <w:lang w:eastAsia="es-MX"/>
              </w:rPr>
              <w:t>eﬁcaces</w:t>
            </w:r>
            <w:proofErr w:type="spellEnd"/>
            <w:r w:rsidRPr="007579FD">
              <w:rPr>
                <w:rFonts w:ascii="Arial" w:eastAsia="Times New Roman" w:hAnsi="Arial" w:cs="Arial"/>
                <w:bCs/>
                <w:color w:val="222222"/>
                <w:sz w:val="24"/>
                <w:szCs w:val="24"/>
                <w:lang w:eastAsia="es-MX"/>
              </w:rPr>
              <w:t xml:space="preserve"> de seguimiento de las recomendaciones de la EFS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Las EFS tienen su propio sistema interno de seguimiento para asegurar que las entidades auditadas sigan adecuadamente sus observaciones y recomendaciones, así como las del Poder Legislativo, una de sus comisiones, o las del directorio, según corresponda</w:t>
            </w:r>
          </w:p>
        </w:tc>
        <w:tc>
          <w:tcPr>
            <w:tcW w:w="224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No existe dentro de las funciones y atribuciones de este órgano de control, </w:t>
            </w:r>
            <w:proofErr w:type="gramStart"/>
            <w:r w:rsidRPr="007579FD">
              <w:rPr>
                <w:rFonts w:ascii="Arial" w:eastAsia="Times New Roman" w:hAnsi="Arial" w:cs="Arial"/>
                <w:bCs/>
                <w:color w:val="222222"/>
                <w:sz w:val="24"/>
                <w:szCs w:val="24"/>
                <w:lang w:eastAsia="es-MX"/>
              </w:rPr>
              <w:t>una apartado</w:t>
            </w:r>
            <w:proofErr w:type="gramEnd"/>
            <w:r w:rsidRPr="007579FD">
              <w:rPr>
                <w:rFonts w:ascii="Arial" w:eastAsia="Times New Roman" w:hAnsi="Arial" w:cs="Arial"/>
                <w:bCs/>
                <w:color w:val="222222"/>
                <w:sz w:val="24"/>
                <w:szCs w:val="24"/>
                <w:lang w:eastAsia="es-MX"/>
              </w:rPr>
              <w:t xml:space="preserve"> que se refiera de forma puntual al seguimiento. De hecho, se había dado por hecho la </w:t>
            </w:r>
            <w:proofErr w:type="spellStart"/>
            <w:r w:rsidRPr="007579FD">
              <w:rPr>
                <w:rFonts w:ascii="Arial" w:eastAsia="Times New Roman" w:hAnsi="Arial" w:cs="Arial"/>
                <w:bCs/>
                <w:color w:val="222222"/>
                <w:sz w:val="24"/>
                <w:szCs w:val="24"/>
                <w:lang w:eastAsia="es-MX"/>
              </w:rPr>
              <w:t>desparición</w:t>
            </w:r>
            <w:proofErr w:type="spellEnd"/>
            <w:r w:rsidRPr="007579FD">
              <w:rPr>
                <w:rFonts w:ascii="Arial" w:eastAsia="Times New Roman" w:hAnsi="Arial" w:cs="Arial"/>
                <w:bCs/>
                <w:color w:val="222222"/>
                <w:sz w:val="24"/>
                <w:szCs w:val="24"/>
                <w:lang w:eastAsia="es-MX"/>
              </w:rPr>
              <w:t xml:space="preserve"> de la secretaría, pero no fue </w:t>
            </w:r>
            <w:proofErr w:type="spellStart"/>
            <w:r w:rsidRPr="007579FD">
              <w:rPr>
                <w:rFonts w:ascii="Arial" w:eastAsia="Times New Roman" w:hAnsi="Arial" w:cs="Arial"/>
                <w:bCs/>
                <w:color w:val="222222"/>
                <w:sz w:val="24"/>
                <w:szCs w:val="24"/>
                <w:lang w:eastAsia="es-MX"/>
              </w:rPr>
              <w:t>aprbado</w:t>
            </w:r>
            <w:proofErr w:type="spellEnd"/>
            <w:r w:rsidRPr="007579FD">
              <w:rPr>
                <w:rFonts w:ascii="Arial" w:eastAsia="Times New Roman" w:hAnsi="Arial" w:cs="Arial"/>
                <w:bCs/>
                <w:color w:val="222222"/>
                <w:sz w:val="24"/>
                <w:szCs w:val="24"/>
                <w:lang w:eastAsia="es-MX"/>
              </w:rPr>
              <w:t xml:space="preserve"> por el Congreso y el </w:t>
            </w:r>
            <w:proofErr w:type="spellStart"/>
            <w:r w:rsidRPr="007579FD">
              <w:rPr>
                <w:rFonts w:ascii="Arial" w:eastAsia="Times New Roman" w:hAnsi="Arial" w:cs="Arial"/>
                <w:bCs/>
                <w:color w:val="222222"/>
                <w:sz w:val="24"/>
                <w:szCs w:val="24"/>
                <w:lang w:eastAsia="es-MX"/>
              </w:rPr>
              <w:t>dia</w:t>
            </w:r>
            <w:proofErr w:type="spellEnd"/>
            <w:r w:rsidRPr="007579FD">
              <w:rPr>
                <w:rFonts w:ascii="Arial" w:eastAsia="Times New Roman" w:hAnsi="Arial" w:cs="Arial"/>
                <w:bCs/>
                <w:color w:val="222222"/>
                <w:sz w:val="24"/>
                <w:szCs w:val="24"/>
                <w:lang w:eastAsia="es-MX"/>
              </w:rPr>
              <w:t xml:space="preserve"> 3 de febrero del 2015, se asignó a un Secretario.</w:t>
            </w:r>
          </w:p>
        </w:tc>
      </w:tr>
      <w:tr w:rsidR="007579FD" w:rsidRPr="007579FD" w:rsidTr="007579FD">
        <w:trPr>
          <w:trHeight w:val="2970"/>
        </w:trPr>
        <w:tc>
          <w:tcPr>
            <w:tcW w:w="11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Principio 8</w:t>
            </w:r>
          </w:p>
        </w:tc>
        <w:tc>
          <w:tcPr>
            <w:tcW w:w="336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xml:space="preserve">Autonomía </w:t>
            </w:r>
            <w:proofErr w:type="spellStart"/>
            <w:r w:rsidRPr="007579FD">
              <w:rPr>
                <w:rFonts w:ascii="Arial" w:eastAsia="Times New Roman" w:hAnsi="Arial" w:cs="Arial"/>
                <w:bCs/>
                <w:color w:val="222222"/>
                <w:sz w:val="24"/>
                <w:szCs w:val="24"/>
                <w:lang w:eastAsia="es-MX"/>
              </w:rPr>
              <w:t>ﬁnanciera</w:t>
            </w:r>
            <w:proofErr w:type="spellEnd"/>
            <w:r w:rsidRPr="007579FD">
              <w:rPr>
                <w:rFonts w:ascii="Arial" w:eastAsia="Times New Roman" w:hAnsi="Arial" w:cs="Arial"/>
                <w:bCs/>
                <w:color w:val="222222"/>
                <w:sz w:val="24"/>
                <w:szCs w:val="24"/>
                <w:lang w:eastAsia="es-MX"/>
              </w:rPr>
              <w:t xml:space="preserve"> y gerencial/administrativa, al igual que disponibilidad de recursos humanos, materiales y económicos apropiados </w:t>
            </w:r>
          </w:p>
        </w:tc>
        <w:tc>
          <w:tcPr>
            <w:tcW w:w="322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Las EFS deben disponer de los recursos humanos, materiales y económicos necesarios y razonables; el Poder Ejecutivo no debe controlar ni supeditar el acceso a esos recursos. Las EFS administran su propio presupuesto y lo asignan de modo apropiado</w:t>
            </w:r>
          </w:p>
        </w:tc>
        <w:tc>
          <w:tcPr>
            <w:tcW w:w="2240" w:type="dxa"/>
            <w:noWrap/>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 </w:t>
            </w:r>
          </w:p>
        </w:tc>
        <w:tc>
          <w:tcPr>
            <w:tcW w:w="2000" w:type="dxa"/>
            <w:hideMark/>
          </w:tcPr>
          <w:p w:rsidR="007579FD" w:rsidRPr="007579FD" w:rsidRDefault="007579FD" w:rsidP="007579FD">
            <w:pPr>
              <w:jc w:val="both"/>
              <w:rPr>
                <w:rFonts w:ascii="Arial" w:eastAsia="Times New Roman" w:hAnsi="Arial" w:cs="Arial"/>
                <w:bCs/>
                <w:color w:val="222222"/>
                <w:sz w:val="24"/>
                <w:szCs w:val="24"/>
                <w:lang w:eastAsia="es-MX"/>
              </w:rPr>
            </w:pPr>
            <w:r w:rsidRPr="007579FD">
              <w:rPr>
                <w:rFonts w:ascii="Arial" w:eastAsia="Times New Roman" w:hAnsi="Arial" w:cs="Arial"/>
                <w:bCs/>
                <w:color w:val="222222"/>
                <w:sz w:val="24"/>
                <w:szCs w:val="24"/>
                <w:lang w:eastAsia="es-MX"/>
              </w:rPr>
              <w:t>No se cumple a cabalidad, cuando el Órgano local, debe atender las recom</w:t>
            </w:r>
            <w:r w:rsidR="00D655FF">
              <w:rPr>
                <w:rFonts w:ascii="Arial" w:eastAsia="Times New Roman" w:hAnsi="Arial" w:cs="Arial"/>
                <w:bCs/>
                <w:color w:val="222222"/>
                <w:sz w:val="24"/>
                <w:szCs w:val="24"/>
                <w:lang w:eastAsia="es-MX"/>
              </w:rPr>
              <w:t>e</w:t>
            </w:r>
            <w:r w:rsidRPr="007579FD">
              <w:rPr>
                <w:rFonts w:ascii="Arial" w:eastAsia="Times New Roman" w:hAnsi="Arial" w:cs="Arial"/>
                <w:bCs/>
                <w:color w:val="222222"/>
                <w:sz w:val="24"/>
                <w:szCs w:val="24"/>
                <w:lang w:eastAsia="es-MX"/>
              </w:rPr>
              <w:t>ndaciones del gobernador en turno y cuando carece de autonomía en el manejo de los recursos asignados.</w:t>
            </w:r>
          </w:p>
        </w:tc>
      </w:tr>
    </w:tbl>
    <w:p w:rsidR="007579FD" w:rsidRDefault="007579FD" w:rsidP="00394B4C">
      <w:pPr>
        <w:jc w:val="both"/>
        <w:rPr>
          <w:rFonts w:ascii="Arial" w:eastAsia="Times New Roman" w:hAnsi="Arial" w:cs="Arial"/>
          <w:bCs/>
          <w:color w:val="222222"/>
          <w:sz w:val="24"/>
          <w:szCs w:val="24"/>
          <w:lang w:eastAsia="es-MX"/>
        </w:rPr>
      </w:pPr>
    </w:p>
    <w:p w:rsidR="00394B4C" w:rsidRDefault="00394B4C" w:rsidP="00394B4C">
      <w:pPr>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 xml:space="preserve"> </w:t>
      </w:r>
    </w:p>
    <w:p w:rsidR="00951287" w:rsidRDefault="00951287" w:rsidP="00394B4C">
      <w:pPr>
        <w:jc w:val="both"/>
        <w:rPr>
          <w:rFonts w:ascii="Arial" w:eastAsia="Times New Roman" w:hAnsi="Arial" w:cs="Arial"/>
          <w:bCs/>
          <w:color w:val="222222"/>
          <w:sz w:val="24"/>
          <w:szCs w:val="24"/>
          <w:lang w:eastAsia="es-MX"/>
        </w:rPr>
      </w:pPr>
    </w:p>
    <w:p w:rsidR="00951287" w:rsidRDefault="00951287" w:rsidP="00394B4C">
      <w:pPr>
        <w:jc w:val="both"/>
        <w:rPr>
          <w:rFonts w:ascii="Arial" w:eastAsia="Times New Roman" w:hAnsi="Arial" w:cs="Arial"/>
          <w:bCs/>
          <w:color w:val="222222"/>
          <w:sz w:val="24"/>
          <w:szCs w:val="24"/>
          <w:lang w:eastAsia="es-MX"/>
        </w:rPr>
      </w:pPr>
      <w:bookmarkStart w:id="0" w:name="_GoBack"/>
      <w:bookmarkEnd w:id="0"/>
    </w:p>
    <w:p w:rsidR="00D655FF" w:rsidRDefault="00D655FF" w:rsidP="00394B4C">
      <w:pPr>
        <w:jc w:val="both"/>
        <w:rPr>
          <w:rFonts w:ascii="Arial" w:eastAsia="Times New Roman" w:hAnsi="Arial" w:cs="Arial"/>
          <w:b/>
          <w:bCs/>
          <w:color w:val="222222"/>
          <w:sz w:val="24"/>
          <w:szCs w:val="24"/>
          <w:lang w:eastAsia="es-MX"/>
        </w:rPr>
      </w:pPr>
      <w:r w:rsidRPr="00D655FF">
        <w:rPr>
          <w:rFonts w:ascii="Arial" w:eastAsia="Times New Roman" w:hAnsi="Arial" w:cs="Arial"/>
          <w:b/>
          <w:bCs/>
          <w:color w:val="222222"/>
          <w:sz w:val="24"/>
          <w:szCs w:val="24"/>
          <w:lang w:eastAsia="es-MX"/>
        </w:rPr>
        <w:t>Conclusiones</w:t>
      </w:r>
    </w:p>
    <w:p w:rsidR="00D655FF" w:rsidRDefault="00D655FF" w:rsidP="00394B4C">
      <w:pPr>
        <w:jc w:val="both"/>
        <w:rPr>
          <w:rFonts w:ascii="Arial" w:eastAsia="Times New Roman" w:hAnsi="Arial" w:cs="Arial"/>
          <w:b/>
          <w:bCs/>
          <w:color w:val="222222"/>
          <w:sz w:val="24"/>
          <w:szCs w:val="24"/>
          <w:lang w:eastAsia="es-MX"/>
        </w:rPr>
      </w:pPr>
    </w:p>
    <w:p w:rsidR="003E3B40" w:rsidRDefault="00D655FF" w:rsidP="00394B4C">
      <w:pPr>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Gracias a la elaboración de estas lecturas y fundamentaciones legales, así como las noticias de gente experta,</w:t>
      </w:r>
      <w:r w:rsidR="004A52FF">
        <w:rPr>
          <w:rStyle w:val="Refdenotaalpie"/>
          <w:rFonts w:ascii="Arial" w:eastAsia="Times New Roman" w:hAnsi="Arial" w:cs="Arial"/>
          <w:bCs/>
          <w:color w:val="222222"/>
          <w:sz w:val="24"/>
          <w:szCs w:val="24"/>
          <w:lang w:eastAsia="es-MX"/>
        </w:rPr>
        <w:footnoteReference w:id="4"/>
      </w:r>
      <w:r>
        <w:rPr>
          <w:rFonts w:ascii="Arial" w:eastAsia="Times New Roman" w:hAnsi="Arial" w:cs="Arial"/>
          <w:bCs/>
          <w:color w:val="222222"/>
          <w:sz w:val="24"/>
          <w:szCs w:val="24"/>
          <w:lang w:eastAsia="es-MX"/>
        </w:rPr>
        <w:t xml:space="preserve"> observo que en este sexenio ha sido el que menos interés e importancia </w:t>
      </w:r>
      <w:r w:rsidR="003E3B40">
        <w:rPr>
          <w:rFonts w:ascii="Arial" w:eastAsia="Times New Roman" w:hAnsi="Arial" w:cs="Arial"/>
          <w:bCs/>
          <w:color w:val="222222"/>
          <w:sz w:val="24"/>
          <w:szCs w:val="24"/>
          <w:lang w:eastAsia="es-MX"/>
        </w:rPr>
        <w:t xml:space="preserve">ha </w:t>
      </w:r>
      <w:r>
        <w:rPr>
          <w:rFonts w:ascii="Arial" w:eastAsia="Times New Roman" w:hAnsi="Arial" w:cs="Arial"/>
          <w:bCs/>
          <w:color w:val="222222"/>
          <w:sz w:val="24"/>
          <w:szCs w:val="24"/>
          <w:lang w:eastAsia="es-MX"/>
        </w:rPr>
        <w:t>demostrad</w:t>
      </w:r>
      <w:r w:rsidR="003E3B40">
        <w:rPr>
          <w:rFonts w:ascii="Arial" w:eastAsia="Times New Roman" w:hAnsi="Arial" w:cs="Arial"/>
          <w:bCs/>
          <w:color w:val="222222"/>
          <w:sz w:val="24"/>
          <w:szCs w:val="24"/>
          <w:lang w:eastAsia="es-MX"/>
        </w:rPr>
        <w:t>o</w:t>
      </w:r>
      <w:r>
        <w:rPr>
          <w:rFonts w:ascii="Arial" w:eastAsia="Times New Roman" w:hAnsi="Arial" w:cs="Arial"/>
          <w:bCs/>
          <w:color w:val="222222"/>
          <w:sz w:val="24"/>
          <w:szCs w:val="24"/>
          <w:lang w:eastAsia="es-MX"/>
        </w:rPr>
        <w:t xml:space="preserve"> al combate a la corrupción. </w:t>
      </w:r>
    </w:p>
    <w:p w:rsidR="00D655FF" w:rsidRDefault="00D655FF" w:rsidP="00394B4C">
      <w:pPr>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Desde 1983 que fue creado</w:t>
      </w:r>
      <w:r w:rsidR="004A52FF">
        <w:rPr>
          <w:rStyle w:val="Refdenotaalpie"/>
          <w:rFonts w:ascii="Arial" w:eastAsia="Times New Roman" w:hAnsi="Arial" w:cs="Arial"/>
          <w:bCs/>
          <w:color w:val="222222"/>
          <w:sz w:val="24"/>
          <w:szCs w:val="24"/>
          <w:lang w:eastAsia="es-MX"/>
        </w:rPr>
        <w:footnoteReference w:id="5"/>
      </w:r>
      <w:r>
        <w:rPr>
          <w:rFonts w:ascii="Arial" w:eastAsia="Times New Roman" w:hAnsi="Arial" w:cs="Arial"/>
          <w:bCs/>
          <w:color w:val="222222"/>
          <w:sz w:val="24"/>
          <w:szCs w:val="24"/>
          <w:lang w:eastAsia="es-MX"/>
        </w:rPr>
        <w:t>, se tuvo en inicio el interés de hacer algo al respecto. Aun y cuando ha tenido múltiples modificaciones</w:t>
      </w:r>
      <w:r w:rsidR="00203F37">
        <w:rPr>
          <w:rStyle w:val="Refdenotaalpie"/>
          <w:rFonts w:ascii="Arial" w:eastAsia="Times New Roman" w:hAnsi="Arial" w:cs="Arial"/>
          <w:bCs/>
          <w:color w:val="222222"/>
          <w:sz w:val="24"/>
          <w:szCs w:val="24"/>
          <w:lang w:eastAsia="es-MX"/>
        </w:rPr>
        <w:footnoteReference w:id="6"/>
      </w:r>
      <w:r>
        <w:rPr>
          <w:rFonts w:ascii="Arial" w:eastAsia="Times New Roman" w:hAnsi="Arial" w:cs="Arial"/>
          <w:bCs/>
          <w:color w:val="222222"/>
          <w:sz w:val="24"/>
          <w:szCs w:val="24"/>
          <w:lang w:eastAsia="es-MX"/>
        </w:rPr>
        <w:t xml:space="preserve"> desde la Ley Orgánica de la Administración Pública y hasta el más reciente cambio (aunque solo sea el nombramiento de un titular para la SFP)</w:t>
      </w:r>
      <w:r w:rsidR="003E3B40">
        <w:rPr>
          <w:rFonts w:ascii="Arial" w:eastAsia="Times New Roman" w:hAnsi="Arial" w:cs="Arial"/>
          <w:bCs/>
          <w:color w:val="222222"/>
          <w:sz w:val="24"/>
          <w:szCs w:val="24"/>
          <w:lang w:eastAsia="es-MX"/>
        </w:rPr>
        <w:t xml:space="preserve"> el gobierno en turno “cumple” con los ordenamientos legales, sin demostrar un verdadero avance desde la firma en Lima Perú de este nuevo listado de recomendaciones.</w:t>
      </w:r>
    </w:p>
    <w:p w:rsidR="00203F37" w:rsidRDefault="00203F37" w:rsidP="00394B4C">
      <w:pPr>
        <w:jc w:val="both"/>
        <w:rPr>
          <w:rFonts w:ascii="Arial" w:eastAsia="Times New Roman" w:hAnsi="Arial" w:cs="Arial"/>
          <w:bCs/>
          <w:color w:val="222222"/>
          <w:sz w:val="24"/>
          <w:szCs w:val="24"/>
          <w:lang w:eastAsia="es-MX"/>
        </w:rPr>
      </w:pPr>
    </w:p>
    <w:p w:rsidR="00203F37" w:rsidRPr="00203F37" w:rsidRDefault="00203F37" w:rsidP="00394B4C">
      <w:pPr>
        <w:jc w:val="both"/>
        <w:rPr>
          <w:rFonts w:ascii="Arial" w:eastAsia="Times New Roman" w:hAnsi="Arial" w:cs="Arial"/>
          <w:b/>
          <w:bCs/>
          <w:color w:val="222222"/>
          <w:sz w:val="24"/>
          <w:szCs w:val="24"/>
          <w:lang w:eastAsia="es-MX"/>
        </w:rPr>
      </w:pPr>
      <w:r w:rsidRPr="00203F37">
        <w:rPr>
          <w:rFonts w:ascii="Arial" w:eastAsia="Times New Roman" w:hAnsi="Arial" w:cs="Arial"/>
          <w:b/>
          <w:bCs/>
          <w:color w:val="222222"/>
          <w:sz w:val="24"/>
          <w:szCs w:val="24"/>
          <w:lang w:eastAsia="es-MX"/>
        </w:rPr>
        <w:t>Bibliografía de la materia</w:t>
      </w:r>
    </w:p>
    <w:p w:rsidR="00D655FF" w:rsidRDefault="00D655FF" w:rsidP="00394B4C">
      <w:pPr>
        <w:jc w:val="both"/>
        <w:rPr>
          <w:rFonts w:ascii="Arial" w:eastAsia="Times New Roman" w:hAnsi="Arial" w:cs="Arial"/>
          <w:bCs/>
          <w:color w:val="222222"/>
          <w:sz w:val="24"/>
          <w:szCs w:val="24"/>
          <w:lang w:eastAsia="es-MX"/>
        </w:rPr>
      </w:pPr>
    </w:p>
    <w:p w:rsidR="00203F37" w:rsidRDefault="00203F37" w:rsidP="00203F37">
      <w:pPr>
        <w:pStyle w:val="Bibliografa"/>
        <w:ind w:left="720" w:hanging="720"/>
        <w:rPr>
          <w:noProof/>
          <w:sz w:val="24"/>
          <w:szCs w:val="24"/>
        </w:rPr>
      </w:pPr>
      <w:r>
        <w:rPr>
          <w:rFonts w:ascii="Arial" w:eastAsia="Times New Roman" w:hAnsi="Arial" w:cs="Arial"/>
          <w:bCs/>
          <w:color w:val="222222"/>
          <w:sz w:val="24"/>
          <w:szCs w:val="24"/>
          <w:lang w:eastAsia="es-MX"/>
        </w:rPr>
        <w:fldChar w:fldCharType="begin"/>
      </w:r>
      <w:r>
        <w:rPr>
          <w:rFonts w:ascii="Arial" w:eastAsia="Times New Roman" w:hAnsi="Arial" w:cs="Arial"/>
          <w:bCs/>
          <w:color w:val="222222"/>
          <w:sz w:val="24"/>
          <w:szCs w:val="24"/>
          <w:lang w:eastAsia="es-MX"/>
        </w:rPr>
        <w:instrText xml:space="preserve"> BIBLIOGRAPHY  \l 2058 </w:instrText>
      </w:r>
      <w:r>
        <w:rPr>
          <w:rFonts w:ascii="Arial" w:eastAsia="Times New Roman" w:hAnsi="Arial" w:cs="Arial"/>
          <w:bCs/>
          <w:color w:val="222222"/>
          <w:sz w:val="24"/>
          <w:szCs w:val="24"/>
          <w:lang w:eastAsia="es-MX"/>
        </w:rPr>
        <w:fldChar w:fldCharType="separate"/>
      </w:r>
      <w:r>
        <w:rPr>
          <w:noProof/>
        </w:rPr>
        <w:t xml:space="preserve">DOF. (29 de 12 de 1982). Decreto de Creacion de la Contraloria ahora Función Pública. </w:t>
      </w:r>
      <w:r>
        <w:rPr>
          <w:i/>
          <w:iCs/>
          <w:noProof/>
        </w:rPr>
        <w:t>Diario Oficial de la Federación</w:t>
      </w:r>
      <w:r>
        <w:rPr>
          <w:noProof/>
        </w:rPr>
        <w:t>.</w:t>
      </w:r>
    </w:p>
    <w:p w:rsidR="00203F37" w:rsidRDefault="00203F37" w:rsidP="00203F37">
      <w:pPr>
        <w:pStyle w:val="Bibliografa"/>
        <w:ind w:left="720" w:hanging="720"/>
        <w:rPr>
          <w:noProof/>
        </w:rPr>
      </w:pPr>
      <w:r>
        <w:rPr>
          <w:noProof/>
        </w:rPr>
        <w:t xml:space="preserve">DOF2005. (27 de 05 de 2005). Reciente modificación al reglamento de la secretaria de la Función Pública. </w:t>
      </w:r>
      <w:r>
        <w:rPr>
          <w:i/>
          <w:iCs/>
          <w:noProof/>
        </w:rPr>
        <w:t>DOF</w:t>
      </w:r>
      <w:r>
        <w:rPr>
          <w:noProof/>
        </w:rPr>
        <w:t>.</w:t>
      </w:r>
    </w:p>
    <w:p w:rsidR="00203F37" w:rsidRDefault="00203F37" w:rsidP="00203F37">
      <w:pPr>
        <w:pStyle w:val="Bibliografa"/>
        <w:ind w:left="720" w:hanging="720"/>
        <w:rPr>
          <w:noProof/>
        </w:rPr>
      </w:pPr>
      <w:r>
        <w:rPr>
          <w:noProof/>
        </w:rPr>
        <w:t xml:space="preserve">IFAI. (18 de 06 de 2016). </w:t>
      </w:r>
      <w:r>
        <w:rPr>
          <w:i/>
          <w:iCs/>
          <w:noProof/>
        </w:rPr>
        <w:t>Instituto Nacional de Transparencia, Acceso a la Información y Protección de Datos Personales</w:t>
      </w:r>
      <w:r>
        <w:rPr>
          <w:noProof/>
        </w:rPr>
        <w:t>. Obtenido de www.ifai.org.mx</w:t>
      </w:r>
    </w:p>
    <w:p w:rsidR="00203F37" w:rsidRDefault="00203F37" w:rsidP="00203F37">
      <w:pPr>
        <w:pStyle w:val="Bibliografa"/>
        <w:ind w:left="720" w:hanging="720"/>
        <w:rPr>
          <w:noProof/>
        </w:rPr>
      </w:pPr>
      <w:r>
        <w:rPr>
          <w:noProof/>
        </w:rPr>
        <w:t xml:space="preserve">Matute. (25 de 06 de 2016). La Reaparición de la Secretaría de la Función Pública. </w:t>
      </w:r>
      <w:r>
        <w:rPr>
          <w:i/>
          <w:iCs/>
          <w:noProof/>
        </w:rPr>
        <w:t>La Crónica</w:t>
      </w:r>
      <w:r>
        <w:rPr>
          <w:noProof/>
        </w:rPr>
        <w:t>, pág. http://www.cronica.com.mx/notas/2016/968859.html.</w:t>
      </w:r>
    </w:p>
    <w:p w:rsidR="00203F37" w:rsidRDefault="00203F37" w:rsidP="00203F37">
      <w:pPr>
        <w:pStyle w:val="Bibliografa"/>
        <w:ind w:left="720" w:hanging="720"/>
        <w:rPr>
          <w:noProof/>
        </w:rPr>
      </w:pPr>
      <w:r>
        <w:rPr>
          <w:noProof/>
        </w:rPr>
        <w:t xml:space="preserve">Mendoza, M. (2009). </w:t>
      </w:r>
      <w:r>
        <w:rPr>
          <w:i/>
          <w:iCs/>
          <w:noProof/>
        </w:rPr>
        <w:t>Sanciones a funcionarios, vacío de la rendición de cuentas en México</w:t>
      </w:r>
      <w:r>
        <w:rPr>
          <w:noProof/>
        </w:rPr>
        <w:t>. Obtenido de www.rendiciondecuentas.org.mx</w:t>
      </w:r>
    </w:p>
    <w:p w:rsidR="00203F37" w:rsidRDefault="00203F37" w:rsidP="00203F37">
      <w:pPr>
        <w:pStyle w:val="Bibliografa"/>
        <w:ind w:left="720" w:hanging="720"/>
        <w:rPr>
          <w:noProof/>
        </w:rPr>
      </w:pPr>
      <w:r>
        <w:rPr>
          <w:noProof/>
        </w:rPr>
        <w:t>Pagán, J. T. (s.f.). Transparencia, rendición de cuentas y participación: una agenda común para la cohesión social y la gobernanza en América Latina .</w:t>
      </w:r>
    </w:p>
    <w:p w:rsidR="00203F37" w:rsidRDefault="00203F37" w:rsidP="00203F37">
      <w:pPr>
        <w:pStyle w:val="Bibliografa"/>
        <w:ind w:left="720" w:hanging="720"/>
        <w:rPr>
          <w:noProof/>
        </w:rPr>
      </w:pPr>
      <w:r>
        <w:rPr>
          <w:noProof/>
        </w:rPr>
        <w:t>Peruzzotti, E. (28 y 29 de agosto de 2008). Marco conceptual de la rendición de cuentas. En P. Enrique. Buenos Aires, Argentina,: Departamento de Ciencia Política y Estudios Internacionales Universidad Torcuato Di Tella.</w:t>
      </w:r>
    </w:p>
    <w:p w:rsidR="00203F37" w:rsidRPr="00D655FF" w:rsidRDefault="00203F37" w:rsidP="00203F37">
      <w:pPr>
        <w:jc w:val="both"/>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fldChar w:fldCharType="end"/>
      </w:r>
    </w:p>
    <w:sectPr w:rsidR="00203F37" w:rsidRPr="00D655FF" w:rsidSect="004D0C98">
      <w:headerReference w:type="default" r:id="rId8"/>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A6D" w:rsidRDefault="00B54A6D" w:rsidP="004D0C98">
      <w:pPr>
        <w:spacing w:after="0" w:line="240" w:lineRule="auto"/>
      </w:pPr>
      <w:r>
        <w:separator/>
      </w:r>
    </w:p>
  </w:endnote>
  <w:endnote w:type="continuationSeparator" w:id="0">
    <w:p w:rsidR="00B54A6D" w:rsidRDefault="00B54A6D"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A6D" w:rsidRDefault="00B54A6D" w:rsidP="004D0C98">
      <w:pPr>
        <w:spacing w:after="0" w:line="240" w:lineRule="auto"/>
      </w:pPr>
      <w:r>
        <w:separator/>
      </w:r>
    </w:p>
  </w:footnote>
  <w:footnote w:type="continuationSeparator" w:id="0">
    <w:p w:rsidR="00B54A6D" w:rsidRDefault="00B54A6D" w:rsidP="004D0C98">
      <w:pPr>
        <w:spacing w:after="0" w:line="240" w:lineRule="auto"/>
      </w:pPr>
      <w:r>
        <w:continuationSeparator/>
      </w:r>
    </w:p>
  </w:footnote>
  <w:footnote w:id="1">
    <w:p w:rsidR="007579FD" w:rsidRDefault="007579FD">
      <w:pPr>
        <w:pStyle w:val="Textonotapie"/>
      </w:pPr>
      <w:r>
        <w:rPr>
          <w:rStyle w:val="Refdenotaalpie"/>
        </w:rPr>
        <w:footnoteRef/>
      </w:r>
      <w:r>
        <w:t xml:space="preserve"> Comentario personal</w:t>
      </w:r>
    </w:p>
  </w:footnote>
  <w:footnote w:id="2">
    <w:p w:rsidR="003E3B40" w:rsidRDefault="003E3B40">
      <w:pPr>
        <w:pStyle w:val="Textonotapie"/>
      </w:pPr>
      <w:r>
        <w:rPr>
          <w:rStyle w:val="Refdenotaalpie"/>
        </w:rPr>
        <w:footnoteRef/>
      </w:r>
      <w:r>
        <w:t xml:space="preserve"> </w:t>
      </w:r>
    </w:p>
    <w:p w:rsidR="003E3B40" w:rsidRDefault="003E3B40" w:rsidP="003E3B40">
      <w:pPr>
        <w:pStyle w:val="Bibliografa"/>
        <w:ind w:left="720" w:hanging="720"/>
        <w:rPr>
          <w:noProof/>
          <w:sz w:val="24"/>
          <w:szCs w:val="24"/>
        </w:rPr>
      </w:pPr>
      <w:r>
        <w:fldChar w:fldCharType="begin"/>
      </w:r>
      <w:r>
        <w:instrText xml:space="preserve"> BIBLIOGRAPHY  \l 2058 </w:instrText>
      </w:r>
      <w:r>
        <w:fldChar w:fldCharType="separate"/>
      </w:r>
      <w:r>
        <w:rPr>
          <w:noProof/>
        </w:rPr>
        <w:t xml:space="preserve">IFAI. (18 de 06 de 2016). </w:t>
      </w:r>
      <w:r>
        <w:rPr>
          <w:i/>
          <w:iCs/>
          <w:noProof/>
        </w:rPr>
        <w:t>Instituto Nacional de Transparencia, Acceso a la Información y Protección de Datos Personales</w:t>
      </w:r>
      <w:r>
        <w:rPr>
          <w:noProof/>
        </w:rPr>
        <w:t>. Obtenido de www.ifai.org.mx</w:t>
      </w:r>
    </w:p>
    <w:p w:rsidR="003E3B40" w:rsidRDefault="003E3B40" w:rsidP="003E3B40">
      <w:pPr>
        <w:pStyle w:val="Bibliografa"/>
        <w:ind w:left="720" w:hanging="720"/>
        <w:rPr>
          <w:noProof/>
        </w:rPr>
      </w:pPr>
      <w:r>
        <w:rPr>
          <w:noProof/>
        </w:rPr>
        <w:t xml:space="preserve">Mendoza, M. (2009). </w:t>
      </w:r>
      <w:r>
        <w:rPr>
          <w:i/>
          <w:iCs/>
          <w:noProof/>
        </w:rPr>
        <w:t>Sanciones a funcionarios, vacío de la rendición de cuentas en México</w:t>
      </w:r>
      <w:r>
        <w:rPr>
          <w:noProof/>
        </w:rPr>
        <w:t>. Obtenido de www.rendiciondecuentas.org.mx</w:t>
      </w:r>
    </w:p>
    <w:p w:rsidR="003E3B40" w:rsidRDefault="003E3B40" w:rsidP="003E3B40">
      <w:pPr>
        <w:pStyle w:val="Bibliografa"/>
        <w:ind w:left="720" w:hanging="720"/>
        <w:rPr>
          <w:noProof/>
        </w:rPr>
      </w:pPr>
      <w:r>
        <w:rPr>
          <w:noProof/>
        </w:rPr>
        <w:t>Pagán, J. T. (s.f.). Transparencia, rendición de cuentas y participación: una agenda común para la cohesión social y la gobernanza en América Latina .</w:t>
      </w:r>
    </w:p>
    <w:p w:rsidR="003E3B40" w:rsidRDefault="003E3B40" w:rsidP="003E3B40">
      <w:pPr>
        <w:pStyle w:val="Bibliografa"/>
        <w:ind w:left="720" w:hanging="720"/>
        <w:rPr>
          <w:noProof/>
        </w:rPr>
      </w:pPr>
      <w:r>
        <w:rPr>
          <w:noProof/>
        </w:rPr>
        <w:t>Peruzzotti, E. (28 y 29 de agosto de 2008). Marco conceptual de la rendición de cuentas. En P. Enrique. Buenos Aires, Argentina,: Departamento de Ciencia Política y Estudios Internacionales Universidad Torcuato Di Tella.</w:t>
      </w:r>
    </w:p>
    <w:p w:rsidR="003E3B40" w:rsidRDefault="003E3B40" w:rsidP="003E3B40">
      <w:pPr>
        <w:pStyle w:val="Textonotapie"/>
      </w:pPr>
      <w:r>
        <w:fldChar w:fldCharType="end"/>
      </w:r>
    </w:p>
  </w:footnote>
  <w:footnote w:id="3">
    <w:p w:rsidR="007579FD" w:rsidRDefault="007579FD">
      <w:pPr>
        <w:pStyle w:val="Textonotapie"/>
      </w:pPr>
      <w:r>
        <w:rPr>
          <w:rStyle w:val="Refdenotaalpie"/>
        </w:rPr>
        <w:footnoteRef/>
      </w:r>
      <w:r>
        <w:t xml:space="preserve"> Comentario personal: Aun y cuando existe un apartado para la evaluación del desempeño, este no se aplica de forma eficiente, De igual forma tampoco se aplican os indicadores de desempeño que todo organismo que se aprecie de ser bien dirigido, debería mostrar </w:t>
      </w:r>
      <w:r w:rsidR="00D655FF">
        <w:t>dichos indicadores</w:t>
      </w:r>
      <w:r>
        <w:t xml:space="preserve"> de forma clara y objetiva.</w:t>
      </w:r>
    </w:p>
  </w:footnote>
  <w:footnote w:id="4">
    <w:p w:rsidR="004A52FF" w:rsidRDefault="004A52FF">
      <w:pPr>
        <w:pStyle w:val="Textonotapie"/>
      </w:pPr>
      <w:r>
        <w:rPr>
          <w:rStyle w:val="Refdenotaalpie"/>
        </w:rPr>
        <w:footnoteRef/>
      </w:r>
      <w:r>
        <w:t xml:space="preserve"> </w:t>
      </w:r>
      <w:sdt>
        <w:sdtPr>
          <w:id w:val="1103456726"/>
          <w:citation/>
        </w:sdtPr>
        <w:sdtContent>
          <w:r>
            <w:fldChar w:fldCharType="begin"/>
          </w:r>
          <w:r>
            <w:instrText xml:space="preserve"> CITATION Mat16 \l 2058 </w:instrText>
          </w:r>
          <w:r>
            <w:fldChar w:fldCharType="separate"/>
          </w:r>
          <w:r>
            <w:rPr>
              <w:noProof/>
            </w:rPr>
            <w:t>(Matute, 2016)</w:t>
          </w:r>
          <w:r>
            <w:fldChar w:fldCharType="end"/>
          </w:r>
        </w:sdtContent>
      </w:sdt>
    </w:p>
  </w:footnote>
  <w:footnote w:id="5">
    <w:p w:rsidR="004A52FF" w:rsidRDefault="004A52FF">
      <w:pPr>
        <w:pStyle w:val="Textonotapie"/>
      </w:pPr>
      <w:r>
        <w:rPr>
          <w:rStyle w:val="Refdenotaalpie"/>
        </w:rPr>
        <w:footnoteRef/>
      </w:r>
      <w:r>
        <w:t xml:space="preserve"> </w:t>
      </w:r>
      <w:sdt>
        <w:sdtPr>
          <w:id w:val="-1791893601"/>
          <w:citation/>
        </w:sdtPr>
        <w:sdtContent>
          <w:r>
            <w:fldChar w:fldCharType="begin"/>
          </w:r>
          <w:r>
            <w:instrText xml:space="preserve"> CITATION DOF82 \l 2058 </w:instrText>
          </w:r>
          <w:r>
            <w:fldChar w:fldCharType="separate"/>
          </w:r>
          <w:r>
            <w:rPr>
              <w:noProof/>
            </w:rPr>
            <w:t>(DOF, 1982)</w:t>
          </w:r>
          <w:r>
            <w:fldChar w:fldCharType="end"/>
          </w:r>
        </w:sdtContent>
      </w:sdt>
    </w:p>
  </w:footnote>
  <w:footnote w:id="6">
    <w:p w:rsidR="00203F37" w:rsidRDefault="00203F37">
      <w:pPr>
        <w:pStyle w:val="Textonotapie"/>
      </w:pPr>
      <w:r>
        <w:rPr>
          <w:rStyle w:val="Refdenotaalpie"/>
        </w:rPr>
        <w:footnoteRef/>
      </w:r>
      <w:r>
        <w:t xml:space="preserve"> </w:t>
      </w:r>
      <w:sdt>
        <w:sdtPr>
          <w:id w:val="-1082750932"/>
          <w:citation/>
        </w:sdtPr>
        <w:sdtContent>
          <w:r>
            <w:fldChar w:fldCharType="begin"/>
          </w:r>
          <w:r>
            <w:instrText xml:space="preserve"> CITATION DOF05 \l 2058 </w:instrText>
          </w:r>
          <w:r>
            <w:fldChar w:fldCharType="separate"/>
          </w:r>
          <w:r>
            <w:rPr>
              <w:noProof/>
            </w:rPr>
            <w:t>(DOF2005, 2005)</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76" w:rsidRDefault="00DF2676">
    <w:pPr>
      <w:pStyle w:val="Encabezado"/>
    </w:pPr>
  </w:p>
  <w:p w:rsidR="00DF2676" w:rsidRDefault="00DF26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6" w15:restartNumberingAfterBreak="0">
    <w:nsid w:val="36BB56B0"/>
    <w:multiLevelType w:val="hybridMultilevel"/>
    <w:tmpl w:val="BC4C270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36BCC"/>
    <w:multiLevelType w:val="hybridMultilevel"/>
    <w:tmpl w:val="A0A8E850"/>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9"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64AE8"/>
    <w:multiLevelType w:val="hybridMultilevel"/>
    <w:tmpl w:val="B99E6DE0"/>
    <w:lvl w:ilvl="0" w:tplc="99F0FF5A">
      <w:start w:val="1"/>
      <w:numFmt w:val="decimal"/>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abstractNumId w:val="1"/>
  </w:num>
  <w:num w:numId="2">
    <w:abstractNumId w:val="5"/>
  </w:num>
  <w:num w:numId="3">
    <w:abstractNumId w:val="7"/>
  </w:num>
  <w:num w:numId="4">
    <w:abstractNumId w:val="2"/>
  </w:num>
  <w:num w:numId="5">
    <w:abstractNumId w:val="0"/>
  </w:num>
  <w:num w:numId="6">
    <w:abstractNumId w:val="9"/>
  </w:num>
  <w:num w:numId="7">
    <w:abstractNumId w:val="3"/>
  </w:num>
  <w:num w:numId="8">
    <w:abstractNumId w:val="4"/>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51B17"/>
    <w:rsid w:val="00060604"/>
    <w:rsid w:val="00085A9C"/>
    <w:rsid w:val="000A7D3C"/>
    <w:rsid w:val="000D1BA0"/>
    <w:rsid w:val="00110835"/>
    <w:rsid w:val="00122DE0"/>
    <w:rsid w:val="00134563"/>
    <w:rsid w:val="001349F6"/>
    <w:rsid w:val="00137D05"/>
    <w:rsid w:val="0017597D"/>
    <w:rsid w:val="00175B4E"/>
    <w:rsid w:val="00196325"/>
    <w:rsid w:val="001A10ED"/>
    <w:rsid w:val="001A1119"/>
    <w:rsid w:val="001B594A"/>
    <w:rsid w:val="001C2C1D"/>
    <w:rsid w:val="001D7693"/>
    <w:rsid w:val="001E085D"/>
    <w:rsid w:val="002026FF"/>
    <w:rsid w:val="00203F37"/>
    <w:rsid w:val="002252A4"/>
    <w:rsid w:val="00255E0B"/>
    <w:rsid w:val="0026188F"/>
    <w:rsid w:val="00281A25"/>
    <w:rsid w:val="002B0879"/>
    <w:rsid w:val="002C0584"/>
    <w:rsid w:val="003566E2"/>
    <w:rsid w:val="00367369"/>
    <w:rsid w:val="00394B4C"/>
    <w:rsid w:val="003B3A03"/>
    <w:rsid w:val="003E127A"/>
    <w:rsid w:val="003E3B40"/>
    <w:rsid w:val="00417353"/>
    <w:rsid w:val="00475704"/>
    <w:rsid w:val="004A52FF"/>
    <w:rsid w:val="004C5EDC"/>
    <w:rsid w:val="004C7337"/>
    <w:rsid w:val="004D0C98"/>
    <w:rsid w:val="004F17E5"/>
    <w:rsid w:val="0051293E"/>
    <w:rsid w:val="005211BB"/>
    <w:rsid w:val="00557117"/>
    <w:rsid w:val="00560CC4"/>
    <w:rsid w:val="00563E15"/>
    <w:rsid w:val="00575E21"/>
    <w:rsid w:val="005B4EAE"/>
    <w:rsid w:val="005B57CB"/>
    <w:rsid w:val="005B7EB7"/>
    <w:rsid w:val="005D2197"/>
    <w:rsid w:val="005D4F91"/>
    <w:rsid w:val="0060497E"/>
    <w:rsid w:val="00630914"/>
    <w:rsid w:val="006B16CC"/>
    <w:rsid w:val="006E0E7E"/>
    <w:rsid w:val="006E54F8"/>
    <w:rsid w:val="006F75C0"/>
    <w:rsid w:val="00721D05"/>
    <w:rsid w:val="00726DE0"/>
    <w:rsid w:val="00734885"/>
    <w:rsid w:val="007579FD"/>
    <w:rsid w:val="00757B89"/>
    <w:rsid w:val="00785592"/>
    <w:rsid w:val="00793BF7"/>
    <w:rsid w:val="007A4520"/>
    <w:rsid w:val="007F7F6A"/>
    <w:rsid w:val="00807A5A"/>
    <w:rsid w:val="00823678"/>
    <w:rsid w:val="00852E05"/>
    <w:rsid w:val="00882FFE"/>
    <w:rsid w:val="008B2A3E"/>
    <w:rsid w:val="0090305F"/>
    <w:rsid w:val="009252C7"/>
    <w:rsid w:val="00951287"/>
    <w:rsid w:val="009674FD"/>
    <w:rsid w:val="00981280"/>
    <w:rsid w:val="00981AA5"/>
    <w:rsid w:val="009838A9"/>
    <w:rsid w:val="009A4721"/>
    <w:rsid w:val="009C0E65"/>
    <w:rsid w:val="00A073A7"/>
    <w:rsid w:val="00A62999"/>
    <w:rsid w:val="00AC6208"/>
    <w:rsid w:val="00B024A3"/>
    <w:rsid w:val="00B024CA"/>
    <w:rsid w:val="00B225F9"/>
    <w:rsid w:val="00B54A6D"/>
    <w:rsid w:val="00B82372"/>
    <w:rsid w:val="00BA6842"/>
    <w:rsid w:val="00BF6E4E"/>
    <w:rsid w:val="00C11D54"/>
    <w:rsid w:val="00C35079"/>
    <w:rsid w:val="00C54ECE"/>
    <w:rsid w:val="00C60902"/>
    <w:rsid w:val="00C62E2F"/>
    <w:rsid w:val="00C720EA"/>
    <w:rsid w:val="00C84D9A"/>
    <w:rsid w:val="00C860BA"/>
    <w:rsid w:val="00CB69DB"/>
    <w:rsid w:val="00D0424B"/>
    <w:rsid w:val="00D0571D"/>
    <w:rsid w:val="00D153DC"/>
    <w:rsid w:val="00D15732"/>
    <w:rsid w:val="00D449ED"/>
    <w:rsid w:val="00D62956"/>
    <w:rsid w:val="00D640A3"/>
    <w:rsid w:val="00D655FF"/>
    <w:rsid w:val="00D772A5"/>
    <w:rsid w:val="00D861F4"/>
    <w:rsid w:val="00DA47DD"/>
    <w:rsid w:val="00DB4274"/>
    <w:rsid w:val="00DF2676"/>
    <w:rsid w:val="00DF7314"/>
    <w:rsid w:val="00E12364"/>
    <w:rsid w:val="00E5657C"/>
    <w:rsid w:val="00ED0B52"/>
    <w:rsid w:val="00EF055A"/>
    <w:rsid w:val="00EF751D"/>
    <w:rsid w:val="00F34B7F"/>
    <w:rsid w:val="00F375E5"/>
    <w:rsid w:val="00F53F9E"/>
    <w:rsid w:val="00F841CC"/>
    <w:rsid w:val="00F90D1D"/>
    <w:rsid w:val="00F936EF"/>
    <w:rsid w:val="00FA2115"/>
    <w:rsid w:val="00FC6598"/>
    <w:rsid w:val="00FE6493"/>
    <w:rsid w:val="00FF37F5"/>
    <w:rsid w:val="00FF6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6143"/>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paragraph" w:styleId="Ttulo1">
    <w:name w:val="heading 1"/>
    <w:basedOn w:val="Normal"/>
    <w:next w:val="Normal"/>
    <w:link w:val="Ttulo1Car"/>
    <w:uiPriority w:val="9"/>
    <w:qFormat/>
    <w:rsid w:val="001C2C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1C2C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C2C1D"/>
  </w:style>
  <w:style w:type="paragraph" w:styleId="Textonotapie">
    <w:name w:val="footnote text"/>
    <w:basedOn w:val="Normal"/>
    <w:link w:val="TextonotapieCar"/>
    <w:uiPriority w:val="99"/>
    <w:semiHidden/>
    <w:unhideWhenUsed/>
    <w:rsid w:val="001C2C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2C1D"/>
    <w:rPr>
      <w:sz w:val="20"/>
      <w:szCs w:val="20"/>
    </w:rPr>
  </w:style>
  <w:style w:type="character" w:styleId="Refdenotaalpie">
    <w:name w:val="footnote reference"/>
    <w:basedOn w:val="Fuentedeprrafopredeter"/>
    <w:uiPriority w:val="99"/>
    <w:semiHidden/>
    <w:unhideWhenUsed/>
    <w:rsid w:val="001C2C1D"/>
    <w:rPr>
      <w:vertAlign w:val="superscript"/>
    </w:rPr>
  </w:style>
  <w:style w:type="table" w:styleId="Tablaconcuadrcula">
    <w:name w:val="Table Grid"/>
    <w:basedOn w:val="Tablanormal"/>
    <w:uiPriority w:val="39"/>
    <w:rsid w:val="0075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058">
      <w:bodyDiv w:val="1"/>
      <w:marLeft w:val="0"/>
      <w:marRight w:val="0"/>
      <w:marTop w:val="0"/>
      <w:marBottom w:val="0"/>
      <w:divBdr>
        <w:top w:val="none" w:sz="0" w:space="0" w:color="auto"/>
        <w:left w:val="none" w:sz="0" w:space="0" w:color="auto"/>
        <w:bottom w:val="none" w:sz="0" w:space="0" w:color="auto"/>
        <w:right w:val="none" w:sz="0" w:space="0" w:color="auto"/>
      </w:divBdr>
    </w:div>
    <w:div w:id="184752882">
      <w:bodyDiv w:val="1"/>
      <w:marLeft w:val="0"/>
      <w:marRight w:val="0"/>
      <w:marTop w:val="0"/>
      <w:marBottom w:val="0"/>
      <w:divBdr>
        <w:top w:val="none" w:sz="0" w:space="0" w:color="auto"/>
        <w:left w:val="none" w:sz="0" w:space="0" w:color="auto"/>
        <w:bottom w:val="none" w:sz="0" w:space="0" w:color="auto"/>
        <w:right w:val="none" w:sz="0" w:space="0" w:color="auto"/>
      </w:divBdr>
    </w:div>
    <w:div w:id="377240790">
      <w:bodyDiv w:val="1"/>
      <w:marLeft w:val="0"/>
      <w:marRight w:val="0"/>
      <w:marTop w:val="0"/>
      <w:marBottom w:val="0"/>
      <w:divBdr>
        <w:top w:val="none" w:sz="0" w:space="0" w:color="auto"/>
        <w:left w:val="none" w:sz="0" w:space="0" w:color="auto"/>
        <w:bottom w:val="none" w:sz="0" w:space="0" w:color="auto"/>
        <w:right w:val="none" w:sz="0" w:space="0" w:color="auto"/>
      </w:divBdr>
    </w:div>
    <w:div w:id="427585847">
      <w:bodyDiv w:val="1"/>
      <w:marLeft w:val="0"/>
      <w:marRight w:val="0"/>
      <w:marTop w:val="0"/>
      <w:marBottom w:val="0"/>
      <w:divBdr>
        <w:top w:val="none" w:sz="0" w:space="0" w:color="auto"/>
        <w:left w:val="none" w:sz="0" w:space="0" w:color="auto"/>
        <w:bottom w:val="none" w:sz="0" w:space="0" w:color="auto"/>
        <w:right w:val="none" w:sz="0" w:space="0" w:color="auto"/>
      </w:divBdr>
    </w:div>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455026629">
      <w:bodyDiv w:val="1"/>
      <w:marLeft w:val="0"/>
      <w:marRight w:val="0"/>
      <w:marTop w:val="0"/>
      <w:marBottom w:val="0"/>
      <w:divBdr>
        <w:top w:val="none" w:sz="0" w:space="0" w:color="auto"/>
        <w:left w:val="none" w:sz="0" w:space="0" w:color="auto"/>
        <w:bottom w:val="none" w:sz="0" w:space="0" w:color="auto"/>
        <w:right w:val="none" w:sz="0" w:space="0" w:color="auto"/>
      </w:divBdr>
    </w:div>
    <w:div w:id="511647678">
      <w:bodyDiv w:val="1"/>
      <w:marLeft w:val="0"/>
      <w:marRight w:val="0"/>
      <w:marTop w:val="0"/>
      <w:marBottom w:val="0"/>
      <w:divBdr>
        <w:top w:val="none" w:sz="0" w:space="0" w:color="auto"/>
        <w:left w:val="none" w:sz="0" w:space="0" w:color="auto"/>
        <w:bottom w:val="none" w:sz="0" w:space="0" w:color="auto"/>
        <w:right w:val="none" w:sz="0" w:space="0" w:color="auto"/>
      </w:divBdr>
    </w:div>
    <w:div w:id="564679513">
      <w:bodyDiv w:val="1"/>
      <w:marLeft w:val="0"/>
      <w:marRight w:val="0"/>
      <w:marTop w:val="0"/>
      <w:marBottom w:val="0"/>
      <w:divBdr>
        <w:top w:val="none" w:sz="0" w:space="0" w:color="auto"/>
        <w:left w:val="none" w:sz="0" w:space="0" w:color="auto"/>
        <w:bottom w:val="none" w:sz="0" w:space="0" w:color="auto"/>
        <w:right w:val="none" w:sz="0" w:space="0" w:color="auto"/>
      </w:divBdr>
    </w:div>
    <w:div w:id="595945120">
      <w:bodyDiv w:val="1"/>
      <w:marLeft w:val="0"/>
      <w:marRight w:val="0"/>
      <w:marTop w:val="0"/>
      <w:marBottom w:val="0"/>
      <w:divBdr>
        <w:top w:val="none" w:sz="0" w:space="0" w:color="auto"/>
        <w:left w:val="none" w:sz="0" w:space="0" w:color="auto"/>
        <w:bottom w:val="none" w:sz="0" w:space="0" w:color="auto"/>
        <w:right w:val="none" w:sz="0" w:space="0" w:color="auto"/>
      </w:divBdr>
    </w:div>
    <w:div w:id="719868382">
      <w:bodyDiv w:val="1"/>
      <w:marLeft w:val="0"/>
      <w:marRight w:val="0"/>
      <w:marTop w:val="0"/>
      <w:marBottom w:val="0"/>
      <w:divBdr>
        <w:top w:val="none" w:sz="0" w:space="0" w:color="auto"/>
        <w:left w:val="none" w:sz="0" w:space="0" w:color="auto"/>
        <w:bottom w:val="none" w:sz="0" w:space="0" w:color="auto"/>
        <w:right w:val="none" w:sz="0" w:space="0" w:color="auto"/>
      </w:divBdr>
    </w:div>
    <w:div w:id="725493573">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83644500">
      <w:bodyDiv w:val="1"/>
      <w:marLeft w:val="0"/>
      <w:marRight w:val="0"/>
      <w:marTop w:val="0"/>
      <w:marBottom w:val="0"/>
      <w:divBdr>
        <w:top w:val="none" w:sz="0" w:space="0" w:color="auto"/>
        <w:left w:val="none" w:sz="0" w:space="0" w:color="auto"/>
        <w:bottom w:val="none" w:sz="0" w:space="0" w:color="auto"/>
        <w:right w:val="none" w:sz="0" w:space="0" w:color="auto"/>
      </w:divBdr>
      <w:divsChild>
        <w:div w:id="844172924">
          <w:marLeft w:val="0"/>
          <w:marRight w:val="0"/>
          <w:marTop w:val="0"/>
          <w:marBottom w:val="0"/>
          <w:divBdr>
            <w:top w:val="none" w:sz="0" w:space="0" w:color="auto"/>
            <w:left w:val="none" w:sz="0" w:space="0" w:color="auto"/>
            <w:bottom w:val="dotted" w:sz="6" w:space="8" w:color="CCCCCC"/>
            <w:right w:val="none" w:sz="0" w:space="0" w:color="auto"/>
          </w:divBdr>
        </w:div>
        <w:div w:id="760873148">
          <w:marLeft w:val="0"/>
          <w:marRight w:val="0"/>
          <w:marTop w:val="0"/>
          <w:marBottom w:val="0"/>
          <w:divBdr>
            <w:top w:val="none" w:sz="0" w:space="0" w:color="auto"/>
            <w:left w:val="none" w:sz="0" w:space="0" w:color="auto"/>
            <w:bottom w:val="dotted" w:sz="6" w:space="8" w:color="CCCCCC"/>
            <w:right w:val="none" w:sz="0" w:space="0" w:color="auto"/>
          </w:divBdr>
        </w:div>
      </w:divsChild>
    </w:div>
    <w:div w:id="1163427154">
      <w:bodyDiv w:val="1"/>
      <w:marLeft w:val="0"/>
      <w:marRight w:val="0"/>
      <w:marTop w:val="0"/>
      <w:marBottom w:val="0"/>
      <w:divBdr>
        <w:top w:val="none" w:sz="0" w:space="0" w:color="auto"/>
        <w:left w:val="none" w:sz="0" w:space="0" w:color="auto"/>
        <w:bottom w:val="none" w:sz="0" w:space="0" w:color="auto"/>
        <w:right w:val="none" w:sz="0" w:space="0" w:color="auto"/>
      </w:divBdr>
    </w:div>
    <w:div w:id="1223559748">
      <w:bodyDiv w:val="1"/>
      <w:marLeft w:val="0"/>
      <w:marRight w:val="0"/>
      <w:marTop w:val="0"/>
      <w:marBottom w:val="0"/>
      <w:divBdr>
        <w:top w:val="none" w:sz="0" w:space="0" w:color="auto"/>
        <w:left w:val="none" w:sz="0" w:space="0" w:color="auto"/>
        <w:bottom w:val="none" w:sz="0" w:space="0" w:color="auto"/>
        <w:right w:val="none" w:sz="0" w:space="0" w:color="auto"/>
      </w:divBdr>
    </w:div>
    <w:div w:id="1277565238">
      <w:bodyDiv w:val="1"/>
      <w:marLeft w:val="0"/>
      <w:marRight w:val="0"/>
      <w:marTop w:val="0"/>
      <w:marBottom w:val="0"/>
      <w:divBdr>
        <w:top w:val="none" w:sz="0" w:space="0" w:color="auto"/>
        <w:left w:val="none" w:sz="0" w:space="0" w:color="auto"/>
        <w:bottom w:val="none" w:sz="0" w:space="0" w:color="auto"/>
        <w:right w:val="none" w:sz="0" w:space="0" w:color="auto"/>
      </w:divBdr>
    </w:div>
    <w:div w:id="1441871934">
      <w:bodyDiv w:val="1"/>
      <w:marLeft w:val="0"/>
      <w:marRight w:val="0"/>
      <w:marTop w:val="0"/>
      <w:marBottom w:val="0"/>
      <w:divBdr>
        <w:top w:val="none" w:sz="0" w:space="0" w:color="auto"/>
        <w:left w:val="none" w:sz="0" w:space="0" w:color="auto"/>
        <w:bottom w:val="none" w:sz="0" w:space="0" w:color="auto"/>
        <w:right w:val="none" w:sz="0" w:space="0" w:color="auto"/>
      </w:divBdr>
    </w:div>
    <w:div w:id="1469469328">
      <w:bodyDiv w:val="1"/>
      <w:marLeft w:val="0"/>
      <w:marRight w:val="0"/>
      <w:marTop w:val="0"/>
      <w:marBottom w:val="0"/>
      <w:divBdr>
        <w:top w:val="none" w:sz="0" w:space="0" w:color="auto"/>
        <w:left w:val="none" w:sz="0" w:space="0" w:color="auto"/>
        <w:bottom w:val="none" w:sz="0" w:space="0" w:color="auto"/>
        <w:right w:val="none" w:sz="0" w:space="0" w:color="auto"/>
      </w:divBdr>
    </w:div>
    <w:div w:id="1509518878">
      <w:bodyDiv w:val="1"/>
      <w:marLeft w:val="0"/>
      <w:marRight w:val="0"/>
      <w:marTop w:val="0"/>
      <w:marBottom w:val="0"/>
      <w:divBdr>
        <w:top w:val="none" w:sz="0" w:space="0" w:color="auto"/>
        <w:left w:val="none" w:sz="0" w:space="0" w:color="auto"/>
        <w:bottom w:val="none" w:sz="0" w:space="0" w:color="auto"/>
        <w:right w:val="none" w:sz="0" w:space="0" w:color="auto"/>
      </w:divBdr>
    </w:div>
    <w:div w:id="1573664324">
      <w:bodyDiv w:val="1"/>
      <w:marLeft w:val="0"/>
      <w:marRight w:val="0"/>
      <w:marTop w:val="0"/>
      <w:marBottom w:val="0"/>
      <w:divBdr>
        <w:top w:val="none" w:sz="0" w:space="0" w:color="auto"/>
        <w:left w:val="none" w:sz="0" w:space="0" w:color="auto"/>
        <w:bottom w:val="none" w:sz="0" w:space="0" w:color="auto"/>
        <w:right w:val="none" w:sz="0" w:space="0" w:color="auto"/>
      </w:divBdr>
    </w:div>
    <w:div w:id="1888032371">
      <w:bodyDiv w:val="1"/>
      <w:marLeft w:val="0"/>
      <w:marRight w:val="0"/>
      <w:marTop w:val="0"/>
      <w:marBottom w:val="0"/>
      <w:divBdr>
        <w:top w:val="none" w:sz="0" w:space="0" w:color="auto"/>
        <w:left w:val="none" w:sz="0" w:space="0" w:color="auto"/>
        <w:bottom w:val="none" w:sz="0" w:space="0" w:color="auto"/>
        <w:right w:val="none" w:sz="0" w:space="0" w:color="auto"/>
      </w:divBdr>
    </w:div>
    <w:div w:id="1934511675">
      <w:bodyDiv w:val="1"/>
      <w:marLeft w:val="0"/>
      <w:marRight w:val="0"/>
      <w:marTop w:val="0"/>
      <w:marBottom w:val="0"/>
      <w:divBdr>
        <w:top w:val="none" w:sz="0" w:space="0" w:color="auto"/>
        <w:left w:val="none" w:sz="0" w:space="0" w:color="auto"/>
        <w:bottom w:val="none" w:sz="0" w:space="0" w:color="auto"/>
        <w:right w:val="none" w:sz="0" w:space="0" w:color="auto"/>
      </w:divBdr>
    </w:div>
    <w:div w:id="19436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Per08</b:Tag>
    <b:SourceType>BookSection</b:SourceType>
    <b:Guid>{899AFAC1-A197-4E0F-B640-E8FD85477B32}</b:Guid>
    <b:Title>Marco conceptual de la rendición de cuentas</b:Title>
    <b:Year>28 y 29 de agosto de 2008</b:Year>
    <b:Author>
      <b:Author>
        <b:NameList>
          <b:Person>
            <b:Last>Peruzzotti</b:Last>
            <b:First>Enrique</b:First>
          </b:Person>
        </b:NameList>
      </b:Author>
      <b:BookAuthor>
        <b:NameList>
          <b:Person>
            <b:Last>Enrique</b:Last>
            <b:First>Peruzzotti</b:First>
          </b:Person>
        </b:NameList>
      </b:BookAuthor>
    </b:Author>
    <b:City>Buenos Aires, Argentina,</b:City>
    <b:Publisher>Departamento de Ciencia Política y Estudios Internacionales Universidad Torcuato Di Tella</b:Publisher>
    <b:RefOrder>1</b:RefOrder>
  </b:Source>
  <b:Source>
    <b:Tag>IFAI</b:Tag>
    <b:SourceType>InternetSite</b:SourceType>
    <b:Guid>{B8398E0C-32BF-4FEB-ACD4-9217B0397D1D}</b:Guid>
    <b:Author>
      <b:Author>
        <b:NameList>
          <b:Person>
            <b:Last>IFAI</b:Last>
          </b:Person>
        </b:NameList>
      </b:Author>
    </b:Author>
    <b:Title>Instituto Nacional de Transparencia, Acceso a la Información y Protección de Datos Personales</b:Title>
    <b:Year>2016</b:Year>
    <b:Month>06</b:Month>
    <b:Day>18</b:Day>
    <b:URL>www.ifai.org.mx</b:URL>
    <b:RefOrder>2</b:RefOrder>
  </b:Source>
  <b:Source>
    <b:Tag>Man09</b:Tag>
    <b:SourceType>InternetSite</b:SourceType>
    <b:Guid>{EDF39CED-6A41-4B38-ACEC-8A9D7DAE444F}</b:Guid>
    <b:Author>
      <b:Author>
        <b:NameList>
          <b:Person>
            <b:Last>Mendoza</b:Last>
            <b:First>Manuela</b:First>
          </b:Person>
        </b:NameList>
      </b:Author>
    </b:Author>
    <b:Title>Sanciones a funcionarios, vacío de la rendición de cuentas en México</b:Title>
    <b:Year>2009</b:Year>
    <b:URL>www.rendiciondecuentas.org.mx</b:URL>
    <b:RefOrder>3</b:RefOrder>
  </b:Source>
  <b:Source>
    <b:Tag>Pagan</b:Tag>
    <b:SourceType>BookSection</b:SourceType>
    <b:Guid>{0F79B22B-041E-44AE-BA57-6450F1C69DEC}</b:Guid>
    <b:Author>
      <b:Author>
        <b:NameList>
          <b:Person>
            <b:Last>Pagán</b:Last>
            <b:First>Joaquín</b:First>
            <b:Middle>Tornos Mas Alfonso Arroyo Díez Mar Martínez Martínez Juana López</b:Middle>
          </b:Person>
        </b:NameList>
      </b:Author>
    </b:Author>
    <b:Title>Transparencia, rendición de cuentas y participación: una agenda común para la cohesión social y la gobernanza en América Latina </b:Title>
    <b:RefOrder>4</b:RefOrder>
  </b:Source>
  <b:Source>
    <b:Tag>Mat16</b:Tag>
    <b:SourceType>ArticleInAPeriodical</b:SourceType>
    <b:Guid>{FED0B580-19D2-4A12-8042-3639A23A0879}</b:Guid>
    <b:Author>
      <b:Author>
        <b:NameList>
          <b:Person>
            <b:Last>Matute</b:Last>
          </b:Person>
        </b:NameList>
      </b:Author>
    </b:Author>
    <b:Title>La Reaparición de la Secretaría de la Función Pública</b:Title>
    <b:Year>2016</b:Year>
    <b:Pages>http://www.cronica.com.mx/notas/2016/968859.html</b:Pages>
    <b:PeriodicalTitle>La Crónica</b:PeriodicalTitle>
    <b:Month>06</b:Month>
    <b:Day>25</b:Day>
    <b:RefOrder>5</b:RefOrder>
  </b:Source>
  <b:Source>
    <b:Tag>DOF82</b:Tag>
    <b:SourceType>ArticleInAPeriodical</b:SourceType>
    <b:Guid>{EC63713E-F3DC-47EE-AFA8-894B3434C70D}</b:Guid>
    <b:Author>
      <b:Author>
        <b:NameList>
          <b:Person>
            <b:Last>DOF</b:Last>
          </b:Person>
        </b:NameList>
      </b:Author>
    </b:Author>
    <b:Title>Decreto de Creacion de la Contraloria ahora Función Pública</b:Title>
    <b:PeriodicalTitle>Diario Oficial de la Federación</b:PeriodicalTitle>
    <b:Year>1982</b:Year>
    <b:Month>12</b:Month>
    <b:Day>29</b:Day>
    <b:RefOrder>6</b:RefOrder>
  </b:Source>
  <b:Source>
    <b:Tag>DOF05</b:Tag>
    <b:SourceType>ArticleInAPeriodical</b:SourceType>
    <b:Guid>{8C6C3F02-54C6-441F-81A2-2684D98E32C8}</b:Guid>
    <b:Author>
      <b:Author>
        <b:NameList>
          <b:Person>
            <b:Last>DOF2005</b:Last>
          </b:Person>
        </b:NameList>
      </b:Author>
    </b:Author>
    <b:Title>Reciente modificación al reglamento de la secretaria de la Función Pública</b:Title>
    <b:PeriodicalTitle>DOF</b:PeriodicalTitle>
    <b:Year>2005</b:Year>
    <b:Month>05</b:Month>
    <b:Day>27</b:Day>
    <b:RefOrder>7</b:RefOrder>
  </b:Source>
</b:Sources>
</file>

<file path=customXml/itemProps1.xml><?xml version="1.0" encoding="utf-8"?>
<ds:datastoreItem xmlns:ds="http://schemas.openxmlformats.org/officeDocument/2006/customXml" ds:itemID="{78B8A0CF-9778-4AD5-9CBD-2225EF1E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8</cp:revision>
  <dcterms:created xsi:type="dcterms:W3CDTF">2016-06-22T00:01:00Z</dcterms:created>
  <dcterms:modified xsi:type="dcterms:W3CDTF">2016-06-27T04:50:00Z</dcterms:modified>
</cp:coreProperties>
</file>