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tl w:val="0"/>
        </w:rPr>
        <w:t>Cesar Valero Rodr</w:t>
      </w:r>
      <w:r>
        <w:rPr>
          <w:rtl w:val="0"/>
        </w:rPr>
        <w:t>í</w:t>
      </w:r>
      <w:r>
        <w:rPr>
          <w:rtl w:val="0"/>
        </w:rPr>
        <w:t>guez</w:t>
      </w:r>
    </w:p>
    <w:p>
      <w:pPr>
        <w:pStyle w:val="Encabezamiento"/>
        <w:bidi w:val="0"/>
      </w:pPr>
      <w:r>
        <w:rPr>
          <w:rtl w:val="0"/>
          <w:lang w:val="da-DK"/>
        </w:rPr>
        <w:t>Dr. Hilda Mar</w:t>
      </w:r>
      <w:r>
        <w:rPr>
          <w:rtl w:val="0"/>
        </w:rPr>
        <w:t>í</w:t>
      </w:r>
      <w:r>
        <w:rPr>
          <w:rtl w:val="0"/>
        </w:rPr>
        <w:t>a Jim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nez Acevedo</w:t>
      </w:r>
    </w:p>
    <w:p>
      <w:pPr>
        <w:pStyle w:val="Encabezamiento"/>
        <w:bidi w:val="0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</w:rPr>
        <w:t>31 de mayo de 2016</w:t>
      </w:r>
      <w:r>
        <w:rPr/>
        <w:fldChar w:fldCharType="end" w:fldLock="1"/>
      </w: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Subtítulo"/>
        <w:bidi w:val="0"/>
      </w:pP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ntesis Actividad 10</w:t>
      </w:r>
    </w:p>
    <w:p>
      <w:pPr>
        <w:pStyle w:val="Cuerpo 2"/>
        <w:bidi w:val="0"/>
      </w:pPr>
    </w:p>
    <w:p>
      <w:pPr>
        <w:pStyle w:val="Cuerpo 2"/>
        <w:jc w:val="both"/>
      </w:pPr>
      <w:r>
        <w:rPr>
          <w:rtl w:val="0"/>
          <w:lang w:val="it-IT"/>
        </w:rPr>
        <w:t>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resultados de desarrollo (GpRD) es una estrategia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centrada en el desempe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del desarrollo y en las mejoras sostenibles en los resultados del pa</w:t>
      </w:r>
      <w:r>
        <w:rPr>
          <w:rtl w:val="0"/>
        </w:rPr>
        <w:t>í</w:t>
      </w:r>
      <w:r>
        <w:rPr>
          <w:rtl w:val="0"/>
          <w:lang w:val="es-ES_tradnl"/>
        </w:rPr>
        <w:t>s. Proporciona un marco coherente para la efectividad en el desarrollo en la cual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desempe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se usa para mejorar la toma de decisiones, e incluye herramientas pr</w:t>
      </w:r>
      <w:r>
        <w:rPr>
          <w:rtl w:val="0"/>
        </w:rPr>
        <w:t>á</w:t>
      </w:r>
      <w:r>
        <w:rPr>
          <w:rtl w:val="0"/>
          <w:lang w:val="es-ES_tradnl"/>
        </w:rPr>
        <w:t>cticas para la planificaci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estrat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gica,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riesgos, el monitoreo del progreso y 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resultados</w:t>
      </w:r>
      <w:r>
        <w:rPr>
          <w:rtl w:val="0"/>
          <w:lang w:val="es-ES_tradnl"/>
        </w:rPr>
        <w:t>.</w:t>
      </w:r>
    </w:p>
    <w:p>
      <w:pPr>
        <w:pStyle w:val="Cuerpo 2"/>
        <w:jc w:val="both"/>
      </w:pPr>
      <w:r>
        <w:rPr>
          <w:rtl w:val="0"/>
          <w:lang w:val="es-ES_tradnl"/>
        </w:rPr>
        <w:t>Es una estrategia que conlleva tomar decisiones con base en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confiable sobre los efectos e impactos  que la 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gubernamental o privada, tiene sobre la vida de la poblaci</w:t>
      </w:r>
      <w:r>
        <w:rPr>
          <w:rtl w:val="0"/>
          <w:lang w:val="es-ES_tradnl"/>
        </w:rPr>
        <w:t>ó</w:t>
      </w:r>
      <w:r>
        <w:rPr>
          <w:rtl w:val="0"/>
        </w:rPr>
        <w:t>n</w:t>
      </w:r>
      <w:r>
        <w:rPr>
          <w:rtl w:val="0"/>
          <w:lang w:val="es-ES_tradnl"/>
        </w:rPr>
        <w:t>.</w:t>
      </w:r>
    </w:p>
    <w:p>
      <w:pPr>
        <w:pStyle w:val="Cuerpo 2"/>
        <w:jc w:val="both"/>
      </w:pPr>
      <w:r>
        <w:rPr>
          <w:rtl w:val="0"/>
          <w:lang w:val="it-IT"/>
        </w:rPr>
        <w:t xml:space="preserve">la GpRD </w:t>
      </w:r>
      <w:r>
        <w:rPr>
          <w:rtl w:val="0"/>
          <w:lang w:val="de-DE"/>
        </w:rPr>
        <w:t>“</w:t>
      </w:r>
      <w:r>
        <w:rPr>
          <w:rtl w:val="0"/>
          <w:lang w:val="es-ES_tradnl"/>
        </w:rPr>
        <w:t>como una estrategia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orienta la 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actores p</w:t>
      </w:r>
      <w:r>
        <w:rPr>
          <w:rtl w:val="0"/>
        </w:rPr>
        <w:t>ú</w:t>
      </w:r>
      <w:r>
        <w:rPr>
          <w:rtl w:val="0"/>
          <w:lang w:val="es-ES_tradnl"/>
        </w:rPr>
        <w:t>blicos del desarrollo para generar el mayor valor p</w:t>
      </w:r>
      <w:r>
        <w:rPr>
          <w:rtl w:val="0"/>
        </w:rPr>
        <w:t>ú</w:t>
      </w:r>
      <w:r>
        <w:rPr>
          <w:rtl w:val="0"/>
          <w:lang w:val="es-ES_tradnl"/>
        </w:rPr>
        <w:t>blico posible a trav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del uso de instrumentos de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que, en forma colectiva, coordinada y complementaria, deben implementar las instituciones p</w:t>
      </w:r>
      <w:r>
        <w:rPr>
          <w:rtl w:val="0"/>
        </w:rPr>
        <w:t>ú</w:t>
      </w:r>
      <w:r>
        <w:rPr>
          <w:rtl w:val="0"/>
          <w:lang w:val="es-ES_tradnl"/>
        </w:rPr>
        <w:t>blicas para generar los cambios sociales con equidad y en forma sostenible en bene</w:t>
      </w:r>
      <w:r>
        <w:rPr>
          <w:rtl w:val="0"/>
          <w:lang w:val="es-ES_tradnl"/>
        </w:rPr>
        <w:t>fi</w:t>
      </w:r>
      <w:r>
        <w:rPr>
          <w:rtl w:val="0"/>
          <w:lang w:val="es-ES_tradnl"/>
        </w:rPr>
        <w:t>cio de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pa</w:t>
      </w:r>
      <w:r>
        <w:rPr>
          <w:rtl w:val="0"/>
        </w:rPr>
        <w:t>í</w:t>
      </w:r>
      <w:r>
        <w:rPr>
          <w:rtl w:val="0"/>
        </w:rPr>
        <w:t>s</w:t>
      </w:r>
      <w:r>
        <w:rPr>
          <w:rtl w:val="0"/>
        </w:rPr>
        <w:t>”</w:t>
      </w:r>
      <w:r>
        <w:rPr>
          <w:rtl w:val="0"/>
        </w:rPr>
        <w:t xml:space="preserve">. </w:t>
      </w:r>
    </w:p>
    <w:p>
      <w:pPr>
        <w:pStyle w:val="Cuerpo 2"/>
        <w:jc w:val="both"/>
      </w:pPr>
      <w:r>
        <w:rPr>
          <w:rtl w:val="0"/>
          <w:lang w:val="es-ES_tradnl"/>
        </w:rPr>
        <w:t>Por otro lado, la GpRD promueve que los directivos de las instituciones asuman responsabilidades por el logro de resultados y no por el mero cumplimiento de funciones, lo que promueve una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 m</w:t>
      </w:r>
      <w:r>
        <w:rPr>
          <w:rtl w:val="0"/>
        </w:rPr>
        <w:t>á</w:t>
      </w:r>
      <w:r>
        <w:rPr>
          <w:rtl w:val="0"/>
        </w:rPr>
        <w:t>s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lida y sustantiva, fundamentada en evidencias que pueden ser veri</w:t>
      </w:r>
      <w:r>
        <w:rPr>
          <w:rtl w:val="0"/>
          <w:lang w:val="es-ES_tradnl"/>
        </w:rPr>
        <w:t>fi</w:t>
      </w:r>
      <w:r>
        <w:rPr>
          <w:rtl w:val="0"/>
          <w:lang w:val="es-ES_tradnl"/>
        </w:rPr>
        <w:t>cadas por parte de la opini</w:t>
      </w:r>
      <w:r>
        <w:rPr>
          <w:rtl w:val="0"/>
          <w:lang w:val="es-ES_tradnl"/>
        </w:rPr>
        <w:t>ó</w:t>
      </w:r>
      <w:r>
        <w:rPr>
          <w:rtl w:val="0"/>
        </w:rPr>
        <w:t>n p</w:t>
      </w:r>
      <w:r>
        <w:rPr>
          <w:rtl w:val="0"/>
        </w:rPr>
        <w:t>ú</w:t>
      </w:r>
      <w:r>
        <w:rPr>
          <w:rtl w:val="0"/>
          <w:lang w:val="es-ES_tradnl"/>
        </w:rPr>
        <w:t xml:space="preserve">blica y la sociedad civil. </w:t>
      </w:r>
    </w:p>
    <w:p>
      <w:pPr>
        <w:pStyle w:val="Cuerpo 2"/>
        <w:jc w:val="both"/>
      </w:pPr>
      <w:r>
        <w:rPr>
          <w:rtl w:val="0"/>
          <w:lang w:val="it-IT"/>
        </w:rPr>
        <w:t>Implica una 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futuro compartida y mejorar la eficiencia y eficacia de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las</w:t>
      </w:r>
      <w:r>
        <w:rPr>
          <w:rtl w:val="0"/>
          <w:lang w:val="es-ES_tradnl"/>
        </w:rPr>
        <w:t xml:space="preserve">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ticas publicas.</w:t>
      </w:r>
    </w:p>
    <w:p>
      <w:pPr>
        <w:pStyle w:val="Cuerpo 2"/>
        <w:jc w:val="both"/>
      </w:pPr>
      <w:r>
        <w:rPr>
          <w:rtl w:val="0"/>
          <w:lang w:val="es-ES_tradnl"/>
        </w:rPr>
        <w:t>por otro lado en cuesti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utilidad esta p</w:t>
      </w:r>
      <w:r>
        <w:rPr>
          <w:rtl w:val="0"/>
          <w:lang w:val="es-ES_tradnl"/>
        </w:rPr>
        <w:t>ermite mayor eficacia y sostenibilidad en:</w:t>
      </w:r>
    </w:p>
    <w:p>
      <w:pPr>
        <w:pStyle w:val="Cuerpo 2"/>
        <w:numPr>
          <w:ilvl w:val="0"/>
          <w:numId w:val="2"/>
        </w:numPr>
        <w:jc w:val="both"/>
        <w:rPr>
          <w:rStyle w:val="Ninguno"/>
          <w:rFonts w:ascii="Calibri" w:cs="Calibri" w:hAnsi="Calibri" w:eastAsia="Calibri"/>
          <w:lang w:val="es-ES_tradnl"/>
        </w:rPr>
      </w:pPr>
      <w:r>
        <w:rPr>
          <w:rtl w:val="0"/>
          <w:lang w:val="es-ES_tradnl"/>
        </w:rPr>
        <w:t>El proceso de creaci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de Valor P</w:t>
      </w:r>
      <w:r>
        <w:rPr>
          <w:rtl w:val="0"/>
        </w:rPr>
        <w:t>ú</w:t>
      </w:r>
      <w:r>
        <w:rPr>
          <w:rtl w:val="0"/>
          <w:lang w:val="es-ES_tradnl"/>
        </w:rPr>
        <w:t>blico: Entendido como Cambios en la vida de la poblaci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observables y verificables, realizados por quienes trabajen con recursos p</w:t>
      </w:r>
      <w:r>
        <w:rPr>
          <w:rtl w:val="0"/>
        </w:rPr>
        <w:t>ú</w:t>
      </w:r>
      <w:r>
        <w:rPr>
          <w:rtl w:val="0"/>
          <w:lang w:val="es-ES_tradnl"/>
        </w:rPr>
        <w:t xml:space="preserve">blicos, como respuesta a las aspiraciones y demandas sociales  </w:t>
      </w:r>
    </w:p>
    <w:p>
      <w:pPr>
        <w:pStyle w:val="Cuerpo 2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Y una mejora continua de las instituciones por uso de la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Resultados para aprender, tomar decisiones y rendir cuentas</w:t>
      </w:r>
      <w:r>
        <w:rPr>
          <w:rtl w:val="0"/>
          <w:lang w:val="es-ES_tradnl"/>
        </w:rPr>
        <w:t>.</w:t>
      </w:r>
    </w:p>
    <w:p>
      <w:pPr>
        <w:pStyle w:val="Cuerpo 2"/>
        <w:jc w:val="both"/>
      </w:pPr>
      <w:r>
        <w:rPr>
          <w:rtl w:val="0"/>
          <w:lang w:val="it-IT"/>
        </w:rPr>
        <w:t>La GpRD implica una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del desarrollo </w:t>
      </w:r>
      <w:r>
        <w:rPr>
          <w:rtl w:val="0"/>
          <w:lang w:val="de-DE"/>
        </w:rPr>
        <w:t>“</w:t>
      </w:r>
      <w:r>
        <w:rPr>
          <w:rtl w:val="0"/>
          <w:lang w:val="pt-PT"/>
        </w:rPr>
        <w:t>negociada</w:t>
      </w:r>
      <w:r>
        <w:rPr>
          <w:rtl w:val="0"/>
        </w:rPr>
        <w:t xml:space="preserve">” </w:t>
      </w:r>
      <w:r>
        <w:rPr>
          <w:rtl w:val="0"/>
        </w:rPr>
        <w:t xml:space="preserve">y </w:t>
      </w:r>
      <w:r>
        <w:rPr>
          <w:rtl w:val="0"/>
          <w:lang w:val="de-DE"/>
        </w:rPr>
        <w:t>“</w:t>
      </w:r>
      <w:r>
        <w:rPr>
          <w:rtl w:val="0"/>
          <w:lang w:val="fr-FR"/>
        </w:rPr>
        <w:t>flexible</w:t>
      </w:r>
      <w:r>
        <w:rPr>
          <w:rtl w:val="0"/>
        </w:rPr>
        <w:t>”</w:t>
      </w:r>
      <w:r>
        <w:rPr>
          <w:rtl w:val="0"/>
          <w:lang w:val="es-ES_tradnl"/>
        </w:rPr>
        <w:t>, que incorpora aprendizajes colectivos</w:t>
      </w:r>
      <w:r>
        <w:rPr>
          <w:rtl w:val="0"/>
          <w:lang w:val="es-ES_tradnl"/>
        </w:rPr>
        <w:t xml:space="preserve"> q</w:t>
      </w:r>
      <w:r>
        <w:rPr>
          <w:rtl w:val="0"/>
          <w:lang w:val="es-ES_tradnl"/>
        </w:rPr>
        <w:t>ue permitan ajustar lo planeado en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avance en los cambios obtenidos y de las modificaciones en el contexto, a fin de garantizar la obtenci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del impacto 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La finalidad de la GpRD es contar con gobiernos y organizaciones p</w:t>
      </w:r>
      <w:r>
        <w:rPr>
          <w:rtl w:val="0"/>
        </w:rPr>
        <w:t>ú</w:t>
      </w:r>
      <w:r>
        <w:rPr>
          <w:rtl w:val="0"/>
          <w:lang w:val="es-ES_tradnl"/>
        </w:rPr>
        <w:t xml:space="preserve">blicas que, actuando de manera 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tica y transparente, busquen constantemente,  por convicci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no por decreto, diferentes maneras de mejorar su desempe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para lograr las expectativas de cambio y el disfrute pleno de derechos de sus ciudadanos y ciudadanas</w:t>
      </w:r>
      <w:r>
        <w:rPr>
          <w:rtl w:val="0"/>
          <w:lang w:val="es-ES_tradnl"/>
        </w:rPr>
        <w:t>.</w:t>
      </w:r>
    </w:p>
    <w:p>
      <w:pPr>
        <w:pStyle w:val="Cuerpo 2"/>
        <w:jc w:val="both"/>
      </w:pPr>
    </w:p>
    <w:p>
      <w:pPr>
        <w:pStyle w:val="Cuerpo 2"/>
        <w:jc w:val="both"/>
      </w:pPr>
    </w:p>
    <w:p>
      <w:pPr>
        <w:pStyle w:val="Cuerpo 2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382.0pt;height:150.0pt;">
        <v:imagedata r:id="rId1" o:title="scrapbook_bullet_black.png"/>
      </v:shape>
    </w:pict>
  </w:numPicBullet>
  <w:abstractNum w:abstractNumId="0">
    <w:multiLevelType w:val="hybridMultilevel"/>
    <w:numStyleLink w:val="Imagen"/>
  </w:abstractNum>
  <w:abstractNum w:abstractNumId="1">
    <w:multiLevelType w:val="hybridMultilevel"/>
    <w:styleLink w:val="Imagen"/>
    <w:lvl w:ilvl="0">
      <w:start w:val="1"/>
      <w:numFmt w:val="bullet"/>
      <w:suff w:val="tab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s-ES_tradnl"/>
    </w:rPr>
  </w:style>
  <w:style w:type="numbering" w:styleId="Imagen">
    <w:name w:val="Imagen"/>
    <w:pPr>
      <w:numPr>
        <w:numId w:val="1"/>
      </w:numPr>
    </w:pPr>
  </w:style>
  <w:style w:type="character" w:styleId="Ninguno">
    <w:name w:val="Ninguno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