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Urna Semper</w:t>
      </w:r>
    </w:p>
    <w:p>
      <w:pPr>
        <w:pStyle w:val="Encabezamiento"/>
        <w:bidi w:val="0"/>
      </w:pPr>
      <w:r>
        <w:rPr>
          <w:rtl w:val="0"/>
          <w:lang w:val="es-ES_tradnl"/>
        </w:rPr>
        <w:t>Nombre del profesor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  <w:lang w:val="es-ES_tradnl"/>
        </w:rPr>
        <w:t>21 de junio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 xml:space="preserve">Cuadro Comparativo </w:t>
      </w:r>
    </w:p>
    <w:p>
      <w:pPr>
        <w:pStyle w:val="Subtítulo.0"/>
        <w:bidi w:val="0"/>
      </w:pPr>
      <w:r>
        <w:rPr>
          <w:rtl w:val="0"/>
        </w:rPr>
        <w:t>Sed et lacus quis enim mattis nonummy</w:t>
      </w:r>
    </w:p>
    <w:p>
      <w:pPr>
        <w:pStyle w:val="Cuerpo"/>
        <w:bidi w:val="0"/>
      </w:pPr>
    </w:p>
    <w:tbl>
      <w:tblPr>
        <w:tblW w:w="13955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4121"/>
        <w:gridCol w:w="5180"/>
        <w:gridCol w:w="4654"/>
      </w:tblGrid>
      <w:tr>
        <w:tblPrEx>
          <w:shd w:val="clear" w:color="auto" w:fill="f4f8ee"/>
        </w:tblPrEx>
        <w:trPr>
          <w:trHeight w:val="545" w:hRule="atLeast"/>
        </w:trPr>
        <w:tc>
          <w:tcPr>
            <w:tcW w:type="dxa" w:w="13955"/>
            <w:gridSpan w:val="3"/>
            <w:tcBorders>
              <w:top w:val="single" w:color="dafcbf" w:sz="2" w:space="0" w:shadow="0" w:frame="0"/>
              <w:left w:val="single" w:color="dafcbf" w:sz="2" w:space="0" w:shadow="0" w:frame="0"/>
              <w:bottom w:val="single" w:color="dafcbf" w:sz="2" w:space="0" w:shadow="0" w:frame="0"/>
              <w:right w:val="single" w:color="dafcbf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Baskerville" w:hAnsi="Baskerville"/>
                <w:sz w:val="46"/>
                <w:szCs w:val="46"/>
                <w:rtl w:val="0"/>
              </w:rPr>
              <w:t>Cuando de Comparaci</w:t>
            </w:r>
            <w:r>
              <w:rPr>
                <w:rFonts w:ascii="Baskerville" w:hAnsi="Baskerville" w:hint="default"/>
                <w:sz w:val="46"/>
                <w:szCs w:val="46"/>
                <w:rtl w:val="0"/>
              </w:rPr>
              <w:t>ó</w:t>
            </w:r>
            <w:r>
              <w:rPr>
                <w:rFonts w:ascii="Baskerville" w:hAnsi="Baskerville"/>
                <w:sz w:val="46"/>
                <w:szCs w:val="46"/>
                <w:rtl w:val="0"/>
              </w:rPr>
              <w:t>n</w:t>
            </w:r>
          </w:p>
        </w:tc>
      </w:tr>
      <w:tr>
        <w:tblPrEx>
          <w:shd w:val="clear" w:color="auto" w:fill="f4f8ee"/>
        </w:tblPrEx>
        <w:trPr>
          <w:trHeight w:val="555" w:hRule="atLeast"/>
        </w:trPr>
        <w:tc>
          <w:tcPr>
            <w:tcW w:type="dxa" w:w="4121"/>
            <w:tcBorders>
              <w:top w:val="single" w:color="dafcbf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color w:val="222222"/>
                <w:rtl w:val="0"/>
              </w:rPr>
              <w:t>Declaraci</w:t>
            </w:r>
            <w:r>
              <w:rPr>
                <w:rFonts w:ascii="Arial" w:hAnsi="Arial" w:hint="default"/>
                <w:color w:val="222222"/>
                <w:rtl w:val="0"/>
              </w:rPr>
              <w:t>ó</w:t>
            </w:r>
            <w:r>
              <w:rPr>
                <w:rFonts w:ascii="Arial" w:hAnsi="Arial"/>
                <w:color w:val="222222"/>
                <w:rtl w:val="0"/>
              </w:rPr>
              <w:t>n de Lima</w:t>
            </w:r>
          </w:p>
        </w:tc>
        <w:tc>
          <w:tcPr>
            <w:tcW w:type="dxa" w:w="5179"/>
            <w:tcBorders>
              <w:top w:val="single" w:color="dafcbf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color w:val="222222"/>
                <w:rtl w:val="0"/>
              </w:rPr>
              <w:t>Declaraci</w:t>
            </w:r>
            <w:r>
              <w:rPr>
                <w:rFonts w:ascii="Arial" w:hAnsi="Arial" w:hint="default"/>
                <w:color w:val="222222"/>
                <w:rtl w:val="0"/>
              </w:rPr>
              <w:t>ó</w:t>
            </w:r>
            <w:r>
              <w:rPr>
                <w:rFonts w:ascii="Arial" w:hAnsi="Arial"/>
                <w:color w:val="222222"/>
                <w:rtl w:val="0"/>
              </w:rPr>
              <w:t>n de M</w:t>
            </w:r>
            <w:r>
              <w:rPr>
                <w:rFonts w:ascii="Arial" w:hAnsi="Arial" w:hint="default"/>
                <w:color w:val="222222"/>
                <w:rtl w:val="0"/>
              </w:rPr>
              <w:t>é</w:t>
            </w:r>
            <w:r>
              <w:rPr>
                <w:rFonts w:ascii="Arial" w:hAnsi="Arial"/>
                <w:color w:val="222222"/>
                <w:rtl w:val="0"/>
              </w:rPr>
              <w:t>xico</w:t>
            </w:r>
          </w:p>
        </w:tc>
        <w:tc>
          <w:tcPr>
            <w:tcW w:type="dxa" w:w="4653"/>
            <w:tcBorders>
              <w:top w:val="single" w:color="dafcbf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color w:val="222222"/>
                <w:rtl w:val="0"/>
              </w:rPr>
              <w:t>Articulo 79</w:t>
            </w:r>
          </w:p>
        </w:tc>
      </w:tr>
      <w:tr>
        <w:tblPrEx>
          <w:shd w:val="clear" w:color="auto" w:fill="f4f8ee"/>
        </w:tblPrEx>
        <w:trPr>
          <w:trHeight w:val="66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La institucio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́</w:t>
            </w:r>
            <w:r>
              <w:rPr>
                <w:rFonts w:ascii="Baskerville" w:cs="Arial Unicode MS" w:hAnsi="Baskerville" w:eastAsia="Arial Unicode MS"/>
                <w:rtl w:val="0"/>
              </w:rPr>
              <w:t>n del control es inmanente a la economi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́</w:t>
            </w:r>
            <w:r>
              <w:rPr>
                <w:rFonts w:ascii="Baskerville" w:cs="Arial Unicode MS" w:hAnsi="Baskerville" w:eastAsia="Arial Unicode MS"/>
                <w:rtl w:val="0"/>
              </w:rPr>
              <w:t>a financiera pu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́</w:t>
            </w:r>
            <w:r>
              <w:rPr>
                <w:rFonts w:ascii="Baskerville" w:cs="Arial Unicode MS" w:hAnsi="Baskerville" w:eastAsia="Arial Unicode MS"/>
                <w:rtl w:val="0"/>
              </w:rPr>
              <w:t>blica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La existencia de un marco constitucional, reglamentario o legal apropiado y eficaz, as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 xml:space="preserve">í </w:t>
            </w:r>
            <w:r>
              <w:rPr>
                <w:rFonts w:ascii="Baskerville" w:cs="Arial Unicode MS" w:hAnsi="Baskerville" w:eastAsia="Arial Unicode MS"/>
                <w:rtl w:val="0"/>
              </w:rPr>
              <w:t>como de disposiciones para la aplicaci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de facto de dicho marco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Autonom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>a de decisiones sobre su organizaci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interna , funcionamiento y resoluciones.</w:t>
            </w:r>
          </w:p>
        </w:tc>
      </w:tr>
      <w:tr>
        <w:tblPrEx>
          <w:shd w:val="clear" w:color="auto" w:fill="f4f8ee"/>
        </w:tblPrEx>
        <w:trPr>
          <w:trHeight w:val="72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El control previo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La independencia de la Autoridad Superior de la EFS, y de los </w:t>
            </w:r>
            <w:r>
              <w:rPr>
                <w:rFonts w:cs="Arial Unicode MS" w:eastAsia="Arial Unicode MS" w:hint="default"/>
                <w:rtl w:val="0"/>
                <w:lang w:val="de-DE"/>
              </w:rPr>
              <w:t>“</w:t>
            </w:r>
            <w:r>
              <w:rPr>
                <w:rFonts w:cs="Arial Unicode MS" w:eastAsia="Arial Unicode MS"/>
                <w:rtl w:val="0"/>
                <w:lang w:val="es-ES_tradnl"/>
              </w:rPr>
              <w:t>miembros</w:t>
            </w:r>
            <w:r>
              <w:rPr>
                <w:rFonts w:cs="Arial Unicode MS" w:eastAsia="Arial Unicode MS" w:hint="default"/>
                <w:rtl w:val="0"/>
              </w:rPr>
              <w:t xml:space="preserve">” </w:t>
            </w:r>
            <w:r>
              <w:rPr>
                <w:rStyle w:val="Ninguno"/>
                <w:sz w:val="24"/>
                <w:szCs w:val="24"/>
              </w:rPr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La auditoria superior de la federaci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podr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 xml:space="preserve">á </w:t>
            </w:r>
            <w:r>
              <w:rPr>
                <w:rFonts w:ascii="Baskerville" w:cs="Arial Unicode MS" w:hAnsi="Baskerville" w:eastAsia="Arial Unicode MS"/>
                <w:rtl w:val="0"/>
              </w:rPr>
              <w:t>solicitar informaci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del ejercicio en curso, respecto de procesos concluidos</w:t>
            </w:r>
          </w:p>
        </w:tc>
      </w:tr>
      <w:tr>
        <w:tblPrEx>
          <w:shd w:val="clear" w:color="auto" w:fill="f4f8ee"/>
        </w:tblPrEx>
        <w:trPr>
          <w:trHeight w:val="66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El control externo de las entidades para tener un control interno impecable ante cualquier eventualidad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Atribuciones para aduitar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Rendici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de cuentas</w:t>
            </w:r>
          </w:p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Control formal y de realizaciones 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Acceso a la informaci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requerida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44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Independencia en las Entidades fiscalizadoras superiores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Rendici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n de cuentas 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72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Independencia de los miembros y funcionarios de las entidades Fizaclizadorasf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L</w:t>
            </w:r>
            <w:r>
              <w:rPr>
                <w:rFonts w:cs="Arial Unicode MS" w:eastAsia="Arial Unicode MS"/>
                <w:rtl w:val="0"/>
                <w:lang w:val="es-ES_tradnl"/>
              </w:rPr>
              <w:t>ibertad para decidir el contenido de sus informes de auditor</w:t>
            </w:r>
            <w:r>
              <w:rPr>
                <w:rFonts w:cs="Arial Unicode MS" w:eastAsia="Arial Unicode MS" w:hint="default"/>
                <w:rtl w:val="0"/>
              </w:rPr>
              <w:t>í</w:t>
            </w:r>
            <w:r>
              <w:rPr>
                <w:rFonts w:cs="Arial Unicode MS" w:eastAsia="Arial Unicode MS"/>
                <w:rtl w:val="0"/>
                <w:lang w:val="it-IT"/>
              </w:rPr>
              <w:t xml:space="preserve">a. </w:t>
            </w:r>
            <w:r>
              <w:rPr>
                <w:rStyle w:val="Ninguno"/>
                <w:rFonts w:ascii="Times" w:cs="Times" w:hAnsi="Times" w:eastAsia="Times"/>
                <w:color w:val="000000"/>
                <w:sz w:val="24"/>
                <w:szCs w:val="24"/>
              </w:rPr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Solvencia financiera 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Sistema de seguimiento de informes con base a las auditorias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Relaci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 Gobierno y Administraci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ó</w:t>
            </w:r>
            <w:r>
              <w:rPr>
                <w:rFonts w:ascii="Baskerville" w:cs="Arial Unicode MS" w:hAnsi="Baskerville" w:eastAsia="Arial Unicode MS"/>
                <w:rtl w:val="0"/>
              </w:rPr>
              <w:t>n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Autonom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í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a financiera y gerencial/administrativa </w:t>
            </w:r>
          </w:p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138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Posibilidad de tener acceso a documentos </w:t>
            </w:r>
            <w:r>
              <w:rPr>
                <w:rFonts w:cs="Arial Unicode MS" w:eastAsia="Arial Unicode MS"/>
                <w:rtl w:val="0"/>
                <w:lang w:val="es-ES_tradnl"/>
              </w:rPr>
              <w:t xml:space="preserve">relacionados con las operaciones y el derecho a pedir de los </w:t>
            </w:r>
            <w:r>
              <w:rPr>
                <w:rFonts w:cs="Arial Unicode MS" w:eastAsia="Arial Unicode MS" w:hint="default"/>
                <w:rtl w:val="0"/>
                <w:lang w:val="es-ES_tradnl"/>
              </w:rPr>
              <w:t>ó</w:t>
            </w:r>
            <w:r>
              <w:rPr>
                <w:rFonts w:cs="Arial Unicode MS" w:eastAsia="Arial Unicode MS"/>
                <w:rtl w:val="0"/>
                <w:lang w:val="es-ES_tradnl"/>
              </w:rPr>
              <w:t xml:space="preserve">rganos del departamento controlado todos los informes, de forma oral o escrita, que les parezcan necesarios </w:t>
            </w:r>
            <w:r>
              <w:rPr>
                <w:rStyle w:val="Ninguno"/>
                <w:rFonts w:ascii="Times" w:cs="Times" w:hAnsi="Times" w:eastAsia="Times"/>
                <w:color w:val="000000"/>
                <w:sz w:val="24"/>
                <w:szCs w:val="24"/>
              </w:rPr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Verificaciones de control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44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Cumplimiento de funcionarios y m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é</w:t>
            </w:r>
            <w:r>
              <w:rPr>
                <w:rFonts w:ascii="Baskerville" w:cs="Arial Unicode MS" w:hAnsi="Baskerville" w:eastAsia="Arial Unicode MS"/>
                <w:rtl w:val="0"/>
              </w:rPr>
              <w:t>todos de control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Rendiciones de cuentas anuales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72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Base constitucional de las competencias de control; control de las operaciones estatales </w:t>
            </w:r>
            <w:r>
              <w:rPr>
                <w:rStyle w:val="Ninguno"/>
                <w:sz w:val="24"/>
                <w:szCs w:val="24"/>
              </w:rPr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Control de ingresos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>autoridades e instituciones en el extranjero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Control de contratos y obras 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64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Control y seguridad de las bases de datos </w:t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505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Control de instituciones subvencionadas </w:t>
            </w:r>
            <w:r>
              <w:rPr>
                <w:rStyle w:val="Ninguno"/>
                <w:sz w:val="24"/>
                <w:szCs w:val="24"/>
              </w:rPr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single" w:color="8ea47c" w:sz="2" w:space="0" w:shadow="0" w:frame="0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single" w:color="8ea47c" w:sz="2" w:space="0" w:shadow="0" w:frame="0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723" w:hRule="atLeast"/>
        </w:trPr>
        <w:tc>
          <w:tcPr>
            <w:tcW w:type="dxa" w:w="4121"/>
            <w:tcBorders>
              <w:top w:val="single" w:color="8ea47c" w:sz="2" w:space="0" w:shadow="0" w:frame="0"/>
              <w:left w:val="nil"/>
              <w:bottom w:val="nil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 xml:space="preserve">Control de Organismos Internacionales y Supranacionales </w:t>
            </w:r>
            <w:r>
              <w:rPr>
                <w:rStyle w:val="Ninguno"/>
                <w:sz w:val="24"/>
                <w:szCs w:val="24"/>
              </w:rPr>
            </w:r>
          </w:p>
        </w:tc>
        <w:tc>
          <w:tcPr>
            <w:tcW w:type="dxa" w:w="5179"/>
            <w:tcBorders>
              <w:top w:val="single" w:color="8ea47c" w:sz="2" w:space="0" w:shadow="0" w:frame="0"/>
              <w:left w:val="single" w:color="8ea47c" w:sz="2" w:space="0" w:shadow="0" w:frame="0"/>
              <w:bottom w:val="nil"/>
              <w:right w:val="single" w:color="8ea47c" w:sz="2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8ea47c" w:sz="2" w:space="0" w:shadow="0" w:frame="0"/>
              <w:left w:val="single" w:color="8ea47c" w:sz="2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6980"/>
        <w:tab w:val="right" w:pos="139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it-IT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