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  <w:r w:rsidRPr="00B30302"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  <w:t>Presupuestos Basados en Resultados, transparencia y rendición de cuentas</w:t>
      </w: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</w:p>
    <w:p w:rsidR="00B30302" w:rsidRDefault="00B30302" w:rsidP="00B30302">
      <w:pPr>
        <w:spacing w:after="0" w:line="240" w:lineRule="auto"/>
        <w:jc w:val="center"/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</w:pPr>
      <w:r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  <w:t>Juan Antonio Velasco Martínez</w:t>
      </w:r>
    </w:p>
    <w:p w:rsidR="00B30302" w:rsidRPr="00B30302" w:rsidRDefault="00B30302" w:rsidP="00B3030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52"/>
          <w:szCs w:val="24"/>
          <w:shd w:val="clear" w:color="auto" w:fill="FFFFFF"/>
          <w:lang w:val="es-ES"/>
        </w:rPr>
      </w:pPr>
      <w:r>
        <w:rPr>
          <w:rStyle w:val="Textoennegrita"/>
          <w:rFonts w:ascii="Times New Roman" w:hAnsi="Times New Roman" w:cs="Times New Roman"/>
          <w:color w:val="222222"/>
          <w:sz w:val="40"/>
          <w:szCs w:val="18"/>
          <w:shd w:val="clear" w:color="auto" w:fill="FFFFFF"/>
        </w:rPr>
        <w:t>20150783</w:t>
      </w: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A6721D" w:rsidRPr="00B30302" w:rsidRDefault="003E689E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B303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lastRenderedPageBreak/>
        <w:t>INTRODUCCION</w:t>
      </w:r>
    </w:p>
    <w:p w:rsidR="0027270A" w:rsidRPr="00982D64" w:rsidRDefault="0027270A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B303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Pr="00B30302" w:rsidRDefault="00B30302" w:rsidP="00B303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El Presupuesto basado en Resultados (el “</w:t>
      </w:r>
      <w:proofErr w:type="spellStart"/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PbR</w:t>
      </w:r>
      <w:proofErr w:type="spellEnd"/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”) es un mecanismo de rendición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cuentas fundame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ntal dentro del sector público,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debe vinculársele con otro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proceso que generalmente sólo se había relacionado con los sectores social y privado: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transparencia y el acceso a la información. En este sentido, facilitar a los gobernados 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acceso a la información del </w:t>
      </w:r>
      <w:proofErr w:type="spellStart"/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PbR</w:t>
      </w:r>
      <w:proofErr w:type="spellEnd"/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es condición necesaria para avanzar en materia de rendición de cuentas de los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gobernantes.</w:t>
      </w:r>
    </w:p>
    <w:p w:rsidR="00B30302" w:rsidRDefault="00B30302" w:rsidP="00B303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A556A" w:rsidRPr="00982D64" w:rsidRDefault="00B30302" w:rsidP="00B30302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Conceptos como “administración por resultados”, “ejercicio del gasto público por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resultados”, “evaluación del desempeño”, “disciplina presupuestaria”, aparecieron 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ejercicios fiscales recientes en los decretos de presupuesto de egresos de la Federación,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 la finalidad de evitar subejercicios del gasto público y lograr ahorros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presupuestarios</w:t>
      </w:r>
    </w:p>
    <w:p w:rsidR="0027270A" w:rsidRDefault="0027270A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2A556A" w:rsidRPr="00B30302" w:rsidRDefault="0027270A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B30302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CONTENIDO</w:t>
      </w:r>
    </w:p>
    <w:p w:rsidR="0027270A" w:rsidRPr="00B30302" w:rsidRDefault="0027270A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B30302" w:rsidRPr="00B30302" w:rsidRDefault="00B30302" w:rsidP="00183F39">
      <w:pPr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B30302" w:rsidRDefault="002E2A0C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2E2A0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Presupuesto basado en Resultados</w:t>
      </w:r>
    </w:p>
    <w:p w:rsidR="002E2A0C" w:rsidRDefault="002E2A0C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30302" w:rsidRPr="00B30302" w:rsidRDefault="00B30302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V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einte países desarrollados suscribieron en París,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Francia, el tratado internacional que dio origen a la Organización para la Cooperación 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el Desarrollo Económicos (la “OCDE”). El propósito de esta organización consiste 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proveer políticas tendientes a contribuir a una sana expansión económica de los países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miembros y en los no miembros en vías de desarrollo, manteniendo la estabilidad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financiera</w:t>
      </w:r>
      <w:r w:rsidR="005722F6"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footnoteReference w:id="1"/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B30302" w:rsidRDefault="00B30302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5722F6" w:rsidRDefault="00B30302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Una manera de alcanzar los objetivos de la OCDE es a través del ejercicio eficiente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los recursos económicos de cada país. Si los gobiernos de los Estados miembros de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OCDE cuentan con la rectoría económica de su país (como sucede en México), las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políticas públicas tendrían que enfocarse en dichos fines para dar cumplimiento a los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propósitos de la organización internacional. Actualmente 31 Estados conforman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organización y contribuyen con sus experiencias al desarrollo económico de los demás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miembros, así como de otras naciones interesadas en la materia. </w:t>
      </w:r>
    </w:p>
    <w:p w:rsidR="005722F6" w:rsidRDefault="005722F6" w:rsidP="00B3030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5722F6" w:rsidRDefault="005722F6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La </w:t>
      </w:r>
      <w:proofErr w:type="spellStart"/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GpR</w:t>
      </w:r>
      <w:proofErr w:type="spellEnd"/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parte del planteamiento de objetivos concretos que se codifican Acuerdos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Servicio Público (la “ASP”), que son instrumentos públicos basados en consultas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públicas a los ciudadanos contribuyentes, para el logro de resultados determinados en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 prestación de servicios públicos. Los ASP son objeto de revisión cada dos o tres años,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para medir el avance en su cumplimiento.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cr/>
      </w:r>
    </w:p>
    <w:p w:rsidR="005722F6" w:rsidRDefault="005722F6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44500" w:rsidRDefault="005722F6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lastRenderedPageBreak/>
        <w:t>El éxito de un ASP depende de cuatro factores principales: la elección adecuada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indicadores de desempeño; el monitoreo del avance de los ministerios; la rendición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cuentas por parte del gobierno; y una retroalimentación mediante la vinculación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5722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esas evaluaciones del desempeño con las decisiones de gasto que se tomen en el futuro.</w:t>
      </w:r>
      <w:r w:rsidR="00B30302" w:rsidRPr="00B3030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cr/>
      </w:r>
    </w:p>
    <w:p w:rsidR="005722F6" w:rsidRPr="00EC2798" w:rsidRDefault="006F2AE5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 xml:space="preserve">Transparencia y </w:t>
      </w:r>
      <w:r w:rsidR="00EC2798" w:rsidRPr="00EC279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Rendición de cuentas</w:t>
      </w:r>
    </w:p>
    <w:p w:rsidR="005722F6" w:rsidRDefault="005722F6" w:rsidP="005722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EC2798" w:rsidRPr="00EC2798" w:rsidRDefault="00EC2798" w:rsidP="00EC2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El nivel de responsabilidad hacendaria ha ido aumentando en México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gradualmente a partir del último cuarto del siglo XX. </w:t>
      </w:r>
      <w:r w:rsidR="006F2A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En los años 90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prevalecía una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gran discrecionalidad en el ejercicio del gasto público; los gobernados contribuían al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sostenimiento del Estado y el gobernante decidía cómo gastar y en qué gastar los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recursos públicos, sujetándose al presupuesto de egresos propuesto por el titular 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Ejecutivo Federal y aprobado por el Congreso de la Unión con la posibilidad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modificarlo durante el ejercicio fiscal.</w:t>
      </w:r>
    </w:p>
    <w:p w:rsidR="00EC2798" w:rsidRDefault="00EC2798" w:rsidP="00EC2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EC2798" w:rsidRDefault="00EC2798" w:rsidP="00EC279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políticas públicas emprendidas por un presidente durante su sexenio, no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vinculaban a su sucesor, que podía asumir las que convinieran a sus intereses, toda vez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que no existía propiamente un Sistema de Planeación Nacional del Desarrollo ni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tampoco mecanismos transparentes y expeditos de rendición de cuentas a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ciudadanía, lo que retrasó la implantación de mecanismos eficientes de responsabilidad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EC27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hacendaria en el ejercicio del gasto.</w:t>
      </w:r>
    </w:p>
    <w:p w:rsidR="00EC2798" w:rsidRDefault="00EC2798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EC2798" w:rsidRDefault="006F2AE5" w:rsidP="006F2A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6F2A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La </w:t>
      </w:r>
      <w:r w:rsid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Auditoria Superior de la Federación (</w:t>
      </w:r>
      <w:r w:rsidRPr="006F2A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ASF</w:t>
      </w:r>
      <w:r w:rsid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)</w:t>
      </w:r>
      <w:r w:rsidRPr="006F2A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es un órgano que depende de la Cámara de Diputados cuya función</w:t>
      </w:r>
      <w:r w:rsid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6F2A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principal consiste en exigir la rendición de cuentas a todo el sector público, de manera</w:t>
      </w:r>
      <w:r w:rsid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6F2AE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posterior al ejercicio del gasto.</w:t>
      </w:r>
    </w:p>
    <w:p w:rsidR="00957F3C" w:rsidRDefault="00957F3C" w:rsidP="006F2A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principales ventajas de la ASF consisten, entre otras, en: que no depende 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Poder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Ejecutivo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; que sus titulares no deben pertenecer a ningún partido político,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 un año de anticipación a su designación, ni atender eventos de partidos políticos; 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que cuenta con facultades para fiscalizar recursos públicos federales que hayan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recibido las entidades fiscalizadas, que son: los Poderes Federales, órganos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constitucionales autónomos, entidades federativas, municipios, y particulares</w:t>
      </w:r>
      <w:r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footnoteReference w:id="2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. </w:t>
      </w:r>
    </w:p>
    <w:p w:rsid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957F3C" w:rsidRP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Sus principales desventajas consisten, entre otras, en que: requiere de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colaboración de diversas dependencias del Ejecutivo Federal para ejecutar las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sanciones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que impone; y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que carece de facultades para fiscalizar los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recursos provenientes de salarios de trabajadores del sector público destinados a sus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sindicatos y administrados por los órganos de dirección de dichas organizaciones</w:t>
      </w:r>
      <w:r>
        <w:rPr>
          <w:rStyle w:val="Refdenotaalpi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footnoteReference w:id="3"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 fiscalización de la Cuenta Pública tiene por objeto evaluar los resultados de la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gestión financiera, comprobar que el ejercicio de la Ley de Ingresos y del Presupuesto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de Egresos de la Federación se hayan ajustado a los criterios establecidos en los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mismos, verificar el cumplimiento de los objetivos contenidos en los programas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federales y determinar, en su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lastRenderedPageBreak/>
        <w:t>caso, las responsabilidades a que haya lugar, a efecto de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imponer las sanciones resarcitorias correspondientes.</w:t>
      </w: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cr/>
      </w:r>
    </w:p>
    <w:p w:rsidR="00EC2798" w:rsidRDefault="00EC2798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EC2798" w:rsidRDefault="00EC2798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B26D07" w:rsidRPr="00957F3C" w:rsidRDefault="00044500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CONCLUCIONES</w:t>
      </w:r>
    </w:p>
    <w:p w:rsidR="00044500" w:rsidRDefault="00044500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957F3C" w:rsidRDefault="00957F3C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44500" w:rsidRDefault="00044500" w:rsidP="00183F3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Como </w:t>
      </w:r>
      <w:r w:rsidR="00D5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hemos visto, los países en desarrollo tienen un gran reto por delante, cambiar de un modelo de presupuesto inercial o un modelo presupuestal basado en resultados, </w:t>
      </w:r>
      <w:r w:rsidR="009A43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no solo implica cambio en la política interna y </w:t>
      </w:r>
      <w:r w:rsidR="00545DB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las leyes presupuestarias sino que también a un cambio de mentalidad, debido a que se orienta al logro sistemático de objetivos y resultados específicos, medibles y tangibles para la población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044500" w:rsidRDefault="00044500" w:rsidP="00B26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044500" w:rsidRDefault="00044500" w:rsidP="00B26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545DB8" w:rsidRDefault="00545DB8" w:rsidP="00B26D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bookmarkStart w:id="0" w:name="_GoBack"/>
      <w:bookmarkEnd w:id="0"/>
    </w:p>
    <w:p w:rsid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 xml:space="preserve">BIBLIOGRAFÍA </w:t>
      </w:r>
    </w:p>
    <w:p w:rsidR="00957F3C" w:rsidRP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</w:p>
    <w:p w:rsidR="00957F3C" w:rsidRDefault="00957F3C" w:rsidP="00B26D07">
      <w:pPr>
        <w:autoSpaceDE w:val="0"/>
        <w:autoSpaceDN w:val="0"/>
        <w:adjustRightInd w:val="0"/>
        <w:spacing w:after="0" w:line="240" w:lineRule="auto"/>
      </w:pPr>
    </w:p>
    <w:p w:rsidR="00044500" w:rsidRPr="00957F3C" w:rsidRDefault="00957F3C" w:rsidP="00957F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Constitución, leyes, reglam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entos y disposiciones generales:</w:t>
      </w:r>
    </w:p>
    <w:p w:rsidR="001870FD" w:rsidRPr="001870FD" w:rsidRDefault="0087558E" w:rsidP="001870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1870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</w:t>
      </w:r>
    </w:p>
    <w:p w:rsidR="002A556A" w:rsidRDefault="00957F3C" w:rsidP="00D53A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957F3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Ley de Fiscalización y Rendición de Cuentas de la Federación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.</w:t>
      </w:r>
    </w:p>
    <w:p w:rsidR="00D53A34" w:rsidRDefault="00D53A34" w:rsidP="00D53A3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</w:pPr>
      <w:r w:rsidRPr="00D53A3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Páginas de Internet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es-ES"/>
        </w:rPr>
        <w:t>:</w:t>
      </w:r>
    </w:p>
    <w:p w:rsidR="00D53A34" w:rsidRPr="00D53A34" w:rsidRDefault="00D53A34" w:rsidP="00D53A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D5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Página de Internet oficial de la OCDE: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 xml:space="preserve"> h</w:t>
      </w:r>
      <w:r w:rsidRPr="00D5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t>ttp://www.oecd.org/dataoecd/52/9/37093646.pdf</w:t>
      </w:r>
    </w:p>
    <w:p w:rsidR="00D53A34" w:rsidRPr="00D53A34" w:rsidRDefault="00D53A34" w:rsidP="00D53A3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</w:p>
    <w:p w:rsidR="00957F3C" w:rsidRPr="00D53A34" w:rsidRDefault="00957F3C" w:rsidP="00D53A34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</w:pPr>
      <w:r w:rsidRPr="00D53A3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s-ES"/>
        </w:rPr>
        <w:cr/>
      </w:r>
    </w:p>
    <w:sectPr w:rsidR="00957F3C" w:rsidRPr="00D53A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1DB8" w:rsidRDefault="006F1DB8" w:rsidP="005722F6">
      <w:pPr>
        <w:spacing w:after="0" w:line="240" w:lineRule="auto"/>
      </w:pPr>
      <w:r>
        <w:separator/>
      </w:r>
    </w:p>
  </w:endnote>
  <w:endnote w:type="continuationSeparator" w:id="0">
    <w:p w:rsidR="006F1DB8" w:rsidRDefault="006F1DB8" w:rsidP="0057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1DB8" w:rsidRDefault="006F1DB8" w:rsidP="005722F6">
      <w:pPr>
        <w:spacing w:after="0" w:line="240" w:lineRule="auto"/>
      </w:pPr>
      <w:r>
        <w:separator/>
      </w:r>
    </w:p>
  </w:footnote>
  <w:footnote w:type="continuationSeparator" w:id="0">
    <w:p w:rsidR="006F1DB8" w:rsidRDefault="006F1DB8" w:rsidP="005722F6">
      <w:pPr>
        <w:spacing w:after="0" w:line="240" w:lineRule="auto"/>
      </w:pPr>
      <w:r>
        <w:continuationSeparator/>
      </w:r>
    </w:p>
  </w:footnote>
  <w:footnote w:id="1">
    <w:p w:rsidR="005722F6" w:rsidRDefault="005722F6" w:rsidP="005722F6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Cfr</w:t>
      </w:r>
      <w:proofErr w:type="spellEnd"/>
      <w:r>
        <w:t>: Artículo 1° del Convenio de la OCDE. Página de Internet oficial de la OCDE:</w:t>
      </w:r>
    </w:p>
    <w:p w:rsidR="005722F6" w:rsidRDefault="005722F6" w:rsidP="005722F6">
      <w:pPr>
        <w:pStyle w:val="Textonotapie"/>
      </w:pPr>
      <w:r>
        <w:t>http://www.oecd.org/dataoecd/52/9/37093646.pdf</w:t>
      </w:r>
    </w:p>
  </w:footnote>
  <w:footnote w:id="2">
    <w:p w:rsidR="00957F3C" w:rsidRDefault="00957F3C" w:rsidP="00957F3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Artículos 2°, fracción IX, 3°, 6° y 91, fracción I, de la Ley de Fiscalización y Rendición de Cuentas de la</w:t>
      </w:r>
      <w:r>
        <w:t xml:space="preserve"> </w:t>
      </w:r>
      <w:r>
        <w:t>Federación.</w:t>
      </w:r>
    </w:p>
  </w:footnote>
  <w:footnote w:id="3">
    <w:p w:rsidR="00957F3C" w:rsidRDefault="00957F3C" w:rsidP="00957F3C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Artículos 2°, fracción IX, 4°, 40 y 63 de la Ley de Fiscalización y Rendición de Cuentas de la</w:t>
      </w:r>
      <w:r>
        <w:t xml:space="preserve"> </w:t>
      </w:r>
      <w:r>
        <w:t>Federación. Una excepción al principio de posterioridad son las “situaciones excepcionales” previstas en</w:t>
      </w:r>
      <w:r>
        <w:t xml:space="preserve"> </w:t>
      </w:r>
      <w:r>
        <w:t>el artículo 42.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2203A"/>
    <w:multiLevelType w:val="hybridMultilevel"/>
    <w:tmpl w:val="A1EA3BB6"/>
    <w:lvl w:ilvl="0" w:tplc="4E8A90F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237C6"/>
    <w:multiLevelType w:val="hybridMultilevel"/>
    <w:tmpl w:val="AB5EDAC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BD1986"/>
    <w:multiLevelType w:val="hybridMultilevel"/>
    <w:tmpl w:val="E1A4CDA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C8D"/>
    <w:rsid w:val="00044500"/>
    <w:rsid w:val="000528E8"/>
    <w:rsid w:val="000B3C8D"/>
    <w:rsid w:val="00183F39"/>
    <w:rsid w:val="001870FD"/>
    <w:rsid w:val="0027270A"/>
    <w:rsid w:val="002A556A"/>
    <w:rsid w:val="002E2A0C"/>
    <w:rsid w:val="003E689E"/>
    <w:rsid w:val="00545DB8"/>
    <w:rsid w:val="005510C4"/>
    <w:rsid w:val="005722F6"/>
    <w:rsid w:val="00696269"/>
    <w:rsid w:val="00696745"/>
    <w:rsid w:val="006F1DB8"/>
    <w:rsid w:val="006F2AE5"/>
    <w:rsid w:val="00776212"/>
    <w:rsid w:val="007A58DB"/>
    <w:rsid w:val="0087558E"/>
    <w:rsid w:val="008C7CF3"/>
    <w:rsid w:val="00957F3C"/>
    <w:rsid w:val="00982D64"/>
    <w:rsid w:val="009A431C"/>
    <w:rsid w:val="00B04976"/>
    <w:rsid w:val="00B26D07"/>
    <w:rsid w:val="00B30302"/>
    <w:rsid w:val="00BD70A6"/>
    <w:rsid w:val="00D23AF2"/>
    <w:rsid w:val="00D26FEB"/>
    <w:rsid w:val="00D53A34"/>
    <w:rsid w:val="00DF03A7"/>
    <w:rsid w:val="00EC2798"/>
    <w:rsid w:val="00FA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0F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0302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22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22F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70F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B30302"/>
    <w:rPr>
      <w:b/>
      <w:bCs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22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22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722F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722F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722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7B6851-F6D0-40DF-B6C7-0B8613D67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7</cp:revision>
  <dcterms:created xsi:type="dcterms:W3CDTF">2016-03-01T03:05:00Z</dcterms:created>
  <dcterms:modified xsi:type="dcterms:W3CDTF">2016-03-01T03:59:00Z</dcterms:modified>
</cp:coreProperties>
</file>