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8">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Default="00300A4D" w:rsidP="00300A4D">
      <w:pPr>
        <w:rPr>
          <w:rFonts w:ascii="Arial" w:hAnsi="Arial" w:cs="Arial"/>
          <w:b/>
          <w:spacing w:val="20"/>
          <w:lang w:val="es-AR"/>
        </w:rPr>
      </w:pPr>
    </w:p>
    <w:p w14:paraId="12C527F2" w14:textId="77777777" w:rsidR="00496455" w:rsidRPr="00300A4D" w:rsidRDefault="00496455"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6DDF2555" w14:textId="24A8325B" w:rsidR="00840886" w:rsidRDefault="00840886" w:rsidP="00300A4D">
      <w:pPr>
        <w:jc w:val="center"/>
        <w:rPr>
          <w:rFonts w:ascii="Arial" w:hAnsi="Arial" w:cs="Arial"/>
          <w:b/>
          <w:spacing w:val="20"/>
          <w:sz w:val="32"/>
          <w:szCs w:val="32"/>
          <w:lang w:val="es-AR"/>
        </w:rPr>
      </w:pPr>
      <w:r>
        <w:rPr>
          <w:rFonts w:ascii="Arial" w:hAnsi="Arial" w:cs="Arial"/>
          <w:b/>
          <w:spacing w:val="20"/>
          <w:sz w:val="32"/>
          <w:szCs w:val="32"/>
          <w:lang w:val="es-AR"/>
        </w:rPr>
        <w:t>LIC. DANIEL ANTONIO CASTILLO ORDOÑEZ</w:t>
      </w:r>
    </w:p>
    <w:p w14:paraId="63A085ED" w14:textId="7A38612C" w:rsidR="00840886" w:rsidRPr="00300A4D" w:rsidRDefault="00840886" w:rsidP="00300A4D">
      <w:pPr>
        <w:jc w:val="center"/>
        <w:rPr>
          <w:rFonts w:ascii="Arial" w:hAnsi="Arial" w:cs="Arial"/>
          <w:b/>
          <w:spacing w:val="20"/>
          <w:sz w:val="32"/>
          <w:szCs w:val="32"/>
          <w:lang w:val="es-AR"/>
        </w:rPr>
      </w:pPr>
      <w:r>
        <w:rPr>
          <w:rFonts w:ascii="Arial" w:hAnsi="Arial" w:cs="Arial"/>
          <w:b/>
          <w:spacing w:val="20"/>
          <w:sz w:val="32"/>
          <w:szCs w:val="32"/>
          <w:lang w:val="es-AR"/>
        </w:rPr>
        <w:t xml:space="preserve">MATRICULA: </w:t>
      </w:r>
      <w:r w:rsidR="00C3771B" w:rsidRPr="00C3771B">
        <w:rPr>
          <w:rFonts w:ascii="Arial" w:hAnsi="Arial" w:cs="Arial"/>
          <w:b/>
          <w:spacing w:val="20"/>
          <w:sz w:val="32"/>
          <w:szCs w:val="32"/>
          <w:lang w:val="es-AR"/>
        </w:rPr>
        <w:t>20150795</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06709CF4" w:rsidR="00300A4D" w:rsidRPr="00300A4D" w:rsidRDefault="00C3771B" w:rsidP="00300A4D">
      <w:pPr>
        <w:jc w:val="center"/>
        <w:rPr>
          <w:rFonts w:ascii="Arial" w:hAnsi="Arial" w:cs="Arial"/>
          <w:b/>
          <w:spacing w:val="20"/>
          <w:sz w:val="32"/>
          <w:szCs w:val="32"/>
          <w:lang w:val="es-AR"/>
        </w:rPr>
      </w:pPr>
      <w:r>
        <w:rPr>
          <w:rFonts w:ascii="Arial" w:hAnsi="Arial" w:cs="Arial"/>
          <w:b/>
          <w:spacing w:val="20"/>
          <w:sz w:val="32"/>
          <w:szCs w:val="32"/>
          <w:lang w:val="es-AR"/>
        </w:rPr>
        <w:t>ACTIVIDAD 4</w:t>
      </w:r>
      <w:r w:rsidR="00300A4D">
        <w:rPr>
          <w:rFonts w:ascii="Arial" w:hAnsi="Arial" w:cs="Arial"/>
          <w:b/>
          <w:spacing w:val="20"/>
          <w:sz w:val="32"/>
          <w:szCs w:val="32"/>
          <w:lang w:val="es-AR"/>
        </w:rPr>
        <w:t xml:space="preserve">: </w:t>
      </w:r>
      <w:r>
        <w:rPr>
          <w:rFonts w:ascii="Arial" w:hAnsi="Arial" w:cs="Arial"/>
          <w:b/>
          <w:spacing w:val="20"/>
          <w:sz w:val="32"/>
          <w:szCs w:val="32"/>
          <w:lang w:val="es-AR"/>
        </w:rPr>
        <w:t xml:space="preserve">AVANCE TRABAJO FINAL </w:t>
      </w:r>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0C909605" w14:textId="7C74F68F" w:rsidR="00496455" w:rsidRDefault="00300A4D" w:rsidP="00E13C16">
      <w:pPr>
        <w:jc w:val="center"/>
        <w:rPr>
          <w:rFonts w:ascii="Arial" w:hAnsi="Arial" w:cs="Arial"/>
          <w:b/>
          <w:spacing w:val="20"/>
          <w:sz w:val="32"/>
          <w:u w:val="single"/>
          <w:lang w:val="es-AR"/>
        </w:rPr>
      </w:pPr>
      <w:r>
        <w:rPr>
          <w:rFonts w:ascii="Arial" w:hAnsi="Arial" w:cs="Arial"/>
          <w:b/>
          <w:spacing w:val="20"/>
          <w:sz w:val="32"/>
          <w:u w:val="single"/>
          <w:lang w:val="es-AR"/>
        </w:rPr>
        <w:t xml:space="preserve">MATERIA: </w:t>
      </w:r>
      <w:r w:rsidR="00E13C16">
        <w:rPr>
          <w:rFonts w:ascii="Arial" w:hAnsi="Arial" w:cs="Arial"/>
          <w:b/>
          <w:spacing w:val="20"/>
          <w:sz w:val="32"/>
          <w:u w:val="single"/>
          <w:lang w:val="es-AR"/>
        </w:rPr>
        <w:t>DESARROLLO ORGANIZACIONAL</w:t>
      </w:r>
    </w:p>
    <w:p w14:paraId="749ACE21" w14:textId="77777777" w:rsidR="00232BC0" w:rsidRDefault="00232BC0" w:rsidP="00E13C16">
      <w:pPr>
        <w:jc w:val="center"/>
        <w:rPr>
          <w:rFonts w:ascii="Arial" w:hAnsi="Arial" w:cs="Arial"/>
          <w:b/>
          <w:spacing w:val="20"/>
          <w:sz w:val="32"/>
          <w:u w:val="single"/>
          <w:lang w:val="es-AR"/>
        </w:rPr>
      </w:pPr>
    </w:p>
    <w:p w14:paraId="71E2CE2F" w14:textId="77777777" w:rsidR="00232BC0" w:rsidRPr="00300A4D" w:rsidRDefault="00232BC0" w:rsidP="00E13C16">
      <w:pPr>
        <w:jc w:val="center"/>
        <w:rPr>
          <w:rFonts w:ascii="Arial" w:hAnsi="Arial" w:cs="Arial"/>
          <w:b/>
          <w:spacing w:val="20"/>
          <w:sz w:val="32"/>
          <w:u w:val="single"/>
          <w:lang w:val="es-AR"/>
        </w:rPr>
      </w:pP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7FB6D17F" w14:textId="77777777" w:rsidR="000F7048" w:rsidRDefault="000F7048" w:rsidP="00A202C0">
      <w:pPr>
        <w:spacing w:line="360" w:lineRule="auto"/>
        <w:jc w:val="both"/>
        <w:rPr>
          <w:rFonts w:ascii="Arial" w:eastAsia="Times New Roman" w:hAnsi="Arial" w:cs="Times New Roman"/>
          <w:lang w:val="es-ES"/>
        </w:rPr>
      </w:pPr>
    </w:p>
    <w:p w14:paraId="51F86CAB" w14:textId="77777777" w:rsidR="00840886" w:rsidRPr="00840886" w:rsidRDefault="00840886" w:rsidP="00840886">
      <w:pPr>
        <w:spacing w:line="360" w:lineRule="auto"/>
        <w:jc w:val="center"/>
        <w:rPr>
          <w:rFonts w:ascii="Arial" w:hAnsi="Arial"/>
          <w:b/>
          <w:bCs/>
          <w:color w:val="000000" w:themeColor="text1"/>
        </w:rPr>
      </w:pPr>
      <w:r w:rsidRPr="00840886">
        <w:rPr>
          <w:rFonts w:ascii="Arial" w:hAnsi="Arial"/>
          <w:b/>
          <w:bCs/>
          <w:color w:val="000000" w:themeColor="text1"/>
        </w:rPr>
        <w:lastRenderedPageBreak/>
        <w:t>I. Introducción</w:t>
      </w:r>
    </w:p>
    <w:p w14:paraId="426DAE78" w14:textId="77777777" w:rsidR="00840886" w:rsidRDefault="00840886" w:rsidP="00840886">
      <w:pPr>
        <w:spacing w:line="360" w:lineRule="auto"/>
        <w:jc w:val="center"/>
        <w:rPr>
          <w:rFonts w:ascii="Arial" w:hAnsi="Arial"/>
          <w:color w:val="006B6B"/>
        </w:rPr>
      </w:pPr>
    </w:p>
    <w:p w14:paraId="7A57ABF4" w14:textId="643F374B" w:rsidR="00840886" w:rsidRPr="00C3771B" w:rsidRDefault="00840886" w:rsidP="00840886">
      <w:pPr>
        <w:spacing w:line="360" w:lineRule="auto"/>
        <w:jc w:val="both"/>
        <w:rPr>
          <w:rFonts w:ascii="Arial" w:eastAsia="Arial" w:hAnsi="Arial" w:cs="Arial"/>
          <w:color w:val="000000"/>
        </w:rPr>
      </w:pPr>
      <w:r>
        <w:rPr>
          <w:rFonts w:ascii="Arial" w:eastAsia="Arial" w:hAnsi="Arial" w:cs="Arial"/>
          <w:color w:val="000000"/>
        </w:rPr>
        <w:t xml:space="preserve">En el año 2002 el Instituto Mexicano del Seguro Social instrumentó los </w:t>
      </w:r>
      <w:r>
        <w:rPr>
          <w:rFonts w:ascii="Arial" w:eastAsia="Arial" w:hAnsi="Arial" w:cs="Arial"/>
          <w:i/>
          <w:iCs/>
          <w:color w:val="000000"/>
        </w:rPr>
        <w:t>Programas Integrados de Salud (PREVENIMSS)</w:t>
      </w:r>
      <w:r>
        <w:rPr>
          <w:rFonts w:ascii="Arial" w:eastAsia="Arial" w:hAnsi="Arial" w:cs="Arial"/>
          <w:color w:val="000000"/>
        </w:rPr>
        <w:t xml:space="preserve">, estrategia de prestación de servicios que privilegia la atención preventiva y tiene como propósito la provisión sistemática y ordenada de acciones relacionadas con la promoción de la salud, la vigilancia de la nutrición, la prevención, detección y control de enfermedades, así como la promoción y atención de la salud reproductiva, ordenándolas en cinco programas orientados a disminuir los riesgos y daños a la salud más frecuentes mediante intervenciones costo efectivas, en los siguientes grupos de edad: </w:t>
      </w:r>
    </w:p>
    <w:p w14:paraId="106CA522" w14:textId="77777777" w:rsidR="00840886" w:rsidRDefault="00840886" w:rsidP="00840886">
      <w:pPr>
        <w:widowControl w:val="0"/>
        <w:numPr>
          <w:ilvl w:val="0"/>
          <w:numId w:val="7"/>
        </w:numPr>
        <w:suppressAutoHyphens/>
        <w:spacing w:after="0" w:line="360" w:lineRule="auto"/>
        <w:jc w:val="both"/>
        <w:rPr>
          <w:rFonts w:ascii="Arial" w:eastAsia="Arial" w:hAnsi="Arial" w:cs="Arial"/>
          <w:color w:val="000000"/>
        </w:rPr>
      </w:pPr>
      <w:r>
        <w:rPr>
          <w:rFonts w:ascii="Arial" w:eastAsia="Arial" w:hAnsi="Arial" w:cs="Arial"/>
          <w:color w:val="000000"/>
        </w:rPr>
        <w:t>Salud de niñas y niños de 0 a 9 años</w:t>
      </w:r>
    </w:p>
    <w:p w14:paraId="3307B5A3" w14:textId="77777777" w:rsidR="00840886" w:rsidRDefault="00840886" w:rsidP="00840886">
      <w:pPr>
        <w:widowControl w:val="0"/>
        <w:numPr>
          <w:ilvl w:val="0"/>
          <w:numId w:val="7"/>
        </w:numPr>
        <w:suppressAutoHyphens/>
        <w:spacing w:after="0" w:line="360" w:lineRule="auto"/>
        <w:jc w:val="both"/>
        <w:rPr>
          <w:rFonts w:ascii="Arial" w:eastAsia="Arial" w:hAnsi="Arial" w:cs="Arial"/>
          <w:color w:val="000000"/>
        </w:rPr>
      </w:pPr>
      <w:r>
        <w:rPr>
          <w:rFonts w:ascii="Arial" w:eastAsia="Arial" w:hAnsi="Arial" w:cs="Arial"/>
          <w:color w:val="000000"/>
        </w:rPr>
        <w:t>Salud de adolescentes de 10 a 19 años</w:t>
      </w:r>
    </w:p>
    <w:p w14:paraId="49CFEF1A" w14:textId="77777777" w:rsidR="00840886" w:rsidRDefault="00840886" w:rsidP="00840886">
      <w:pPr>
        <w:widowControl w:val="0"/>
        <w:numPr>
          <w:ilvl w:val="0"/>
          <w:numId w:val="7"/>
        </w:numPr>
        <w:suppressAutoHyphens/>
        <w:spacing w:after="0" w:line="360" w:lineRule="auto"/>
        <w:jc w:val="both"/>
        <w:rPr>
          <w:rFonts w:ascii="Arial" w:eastAsia="Arial" w:hAnsi="Arial" w:cs="Arial"/>
          <w:color w:val="000000"/>
        </w:rPr>
      </w:pPr>
      <w:r>
        <w:rPr>
          <w:rFonts w:ascii="Arial" w:eastAsia="Arial" w:hAnsi="Arial" w:cs="Arial"/>
          <w:color w:val="000000"/>
        </w:rPr>
        <w:t>Salud de mujeres de 20 a 59 años</w:t>
      </w:r>
    </w:p>
    <w:p w14:paraId="49149DD3" w14:textId="77777777" w:rsidR="00840886" w:rsidRDefault="00840886" w:rsidP="00840886">
      <w:pPr>
        <w:widowControl w:val="0"/>
        <w:numPr>
          <w:ilvl w:val="0"/>
          <w:numId w:val="7"/>
        </w:numPr>
        <w:suppressAutoHyphens/>
        <w:spacing w:after="0" w:line="360" w:lineRule="auto"/>
        <w:jc w:val="both"/>
        <w:rPr>
          <w:rFonts w:ascii="Arial" w:eastAsia="Arial" w:hAnsi="Arial" w:cs="Arial"/>
          <w:color w:val="000000"/>
        </w:rPr>
      </w:pPr>
      <w:r>
        <w:rPr>
          <w:rFonts w:ascii="Arial" w:eastAsia="Arial" w:hAnsi="Arial" w:cs="Arial"/>
          <w:color w:val="000000"/>
        </w:rPr>
        <w:t>Salud de hombres de 20 a 59 años</w:t>
      </w:r>
    </w:p>
    <w:p w14:paraId="36F77847" w14:textId="77777777" w:rsidR="00840886" w:rsidRDefault="00840886" w:rsidP="00840886">
      <w:pPr>
        <w:widowControl w:val="0"/>
        <w:numPr>
          <w:ilvl w:val="0"/>
          <w:numId w:val="7"/>
        </w:numPr>
        <w:suppressAutoHyphens/>
        <w:spacing w:after="0" w:line="360" w:lineRule="auto"/>
        <w:jc w:val="both"/>
        <w:rPr>
          <w:rFonts w:ascii="Arial" w:eastAsia="Arial" w:hAnsi="Arial" w:cs="Arial"/>
          <w:color w:val="000000"/>
        </w:rPr>
      </w:pPr>
      <w:r>
        <w:rPr>
          <w:rFonts w:ascii="Arial" w:eastAsia="Arial" w:hAnsi="Arial" w:cs="Arial"/>
          <w:color w:val="000000"/>
        </w:rPr>
        <w:t>Salud de adultas y adultos mayores de 59 años</w:t>
      </w:r>
    </w:p>
    <w:p w14:paraId="4ECE005A" w14:textId="77777777" w:rsidR="00840886" w:rsidRDefault="00840886" w:rsidP="00840886">
      <w:pPr>
        <w:spacing w:line="360" w:lineRule="auto"/>
        <w:jc w:val="both"/>
        <w:rPr>
          <w:rFonts w:ascii="Arial" w:hAnsi="Arial"/>
          <w:color w:val="006B6B"/>
        </w:rPr>
      </w:pPr>
    </w:p>
    <w:p w14:paraId="4FF05E40" w14:textId="77777777" w:rsidR="00840886" w:rsidRDefault="00840886" w:rsidP="00840886">
      <w:pPr>
        <w:spacing w:line="360" w:lineRule="auto"/>
        <w:jc w:val="both"/>
        <w:rPr>
          <w:rFonts w:ascii="Arial" w:eastAsia="Arial" w:hAnsi="Arial" w:cs="Arial"/>
          <w:color w:val="000000"/>
        </w:rPr>
      </w:pPr>
      <w:r>
        <w:rPr>
          <w:rFonts w:ascii="Arial" w:eastAsia="Arial" w:hAnsi="Arial" w:cs="Arial"/>
          <w:color w:val="000000"/>
        </w:rPr>
        <w:t xml:space="preserve">A partir de 2007, el Instituto define a PREVENIMSS como una estrategia prioritaria para contribuir a mejorar las condiciones de salud y calidad de vida de la población derechohabiente, lo que determina la necesidad de incrementar la atención preventiva en relación a la curativa en las Unidades de Medicina Familiar, incrementar las coberturas en cada una de las acciones que integran el paquete básico de atenciones preventivas en cada uno de los cinco grupos de edad, así como lograr la satisfacción de los usuarios y su participación corresponsable en el cuidado de su salud. La evaluación de los resultados e impactos de la estrategia PREVENIMSS, se realiza mediante el análisis periódico de la información institucional sobre morbilidad y mortalidad. </w:t>
      </w:r>
    </w:p>
    <w:tbl>
      <w:tblPr>
        <w:tblW w:w="93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C3771B" w:rsidRPr="006F0DEF" w14:paraId="26C88E3C" w14:textId="77777777" w:rsidTr="00F43DA0">
        <w:trPr>
          <w:trHeight w:val="460"/>
          <w:tblCellSpacing w:w="15" w:type="dxa"/>
        </w:trPr>
        <w:tc>
          <w:tcPr>
            <w:tcW w:w="9098" w:type="dxa"/>
            <w:vAlign w:val="center"/>
            <w:hideMark/>
          </w:tcPr>
          <w:p w14:paraId="171BF667" w14:textId="77777777" w:rsidR="00C3771B" w:rsidRPr="00C3771B" w:rsidRDefault="00C3771B" w:rsidP="00F43DA0">
            <w:pPr>
              <w:spacing w:line="360" w:lineRule="auto"/>
              <w:jc w:val="both"/>
              <w:rPr>
                <w:rFonts w:ascii="Arial" w:eastAsia="Times New Roman" w:hAnsi="Arial" w:cs="Times New Roman"/>
                <w:b/>
                <w:i/>
                <w:szCs w:val="22"/>
                <w:lang w:val="es-MX"/>
              </w:rPr>
            </w:pPr>
            <w:r w:rsidRPr="00C3771B">
              <w:rPr>
                <w:rFonts w:ascii="Arial" w:eastAsia="Times New Roman" w:hAnsi="Arial" w:cs="Times New Roman"/>
                <w:b/>
                <w:i/>
                <w:szCs w:val="22"/>
                <w:lang w:val="es-MX"/>
              </w:rPr>
              <w:t>Misión</w:t>
            </w:r>
          </w:p>
        </w:tc>
      </w:tr>
      <w:tr w:rsidR="00C3771B" w:rsidRPr="006F0DEF" w14:paraId="213B7237" w14:textId="77777777" w:rsidTr="00F43DA0">
        <w:trPr>
          <w:trHeight w:val="460"/>
          <w:tblCellSpacing w:w="15" w:type="dxa"/>
        </w:trPr>
        <w:tc>
          <w:tcPr>
            <w:tcW w:w="9098" w:type="dxa"/>
            <w:vAlign w:val="center"/>
            <w:hideMark/>
          </w:tcPr>
          <w:p w14:paraId="77054BD7" w14:textId="77777777" w:rsidR="00C3771B" w:rsidRPr="00C3771B" w:rsidRDefault="00C3771B" w:rsidP="00F43DA0">
            <w:pPr>
              <w:spacing w:line="360" w:lineRule="auto"/>
              <w:jc w:val="both"/>
              <w:rPr>
                <w:rFonts w:ascii="Arial" w:eastAsia="Times New Roman" w:hAnsi="Arial" w:cs="Times New Roman"/>
                <w:szCs w:val="22"/>
                <w:lang w:val="es-MX"/>
              </w:rPr>
            </w:pPr>
            <w:r w:rsidRPr="00C3771B">
              <w:rPr>
                <w:rFonts w:ascii="Arial" w:eastAsia="Times New Roman" w:hAnsi="Arial" w:cs="Times New Roman"/>
                <w:szCs w:val="22"/>
                <w:lang w:val="es-MX"/>
              </w:rPr>
              <w:t>Planear, ejecutar y evaluar las acciones educativas en salud que se desarrollan en el Instituto Mexicano del Seguro Social mediante la formación, educación continua y capacitación del personal que atiende los procesos de salud, enfermedad y rehabilitación de los derechohabientes y sus familias, con calidad y calidez.</w:t>
            </w:r>
          </w:p>
        </w:tc>
      </w:tr>
      <w:tr w:rsidR="00C3771B" w:rsidRPr="006F0DEF" w14:paraId="18DA4C36" w14:textId="77777777" w:rsidTr="00F43DA0">
        <w:trPr>
          <w:trHeight w:val="460"/>
          <w:tblCellSpacing w:w="15" w:type="dxa"/>
        </w:trPr>
        <w:tc>
          <w:tcPr>
            <w:tcW w:w="9098" w:type="dxa"/>
            <w:vAlign w:val="center"/>
            <w:hideMark/>
          </w:tcPr>
          <w:p w14:paraId="00996C3F" w14:textId="77777777" w:rsidR="00C3771B" w:rsidRPr="00C3771B" w:rsidRDefault="00C3771B" w:rsidP="00F43DA0">
            <w:pPr>
              <w:spacing w:line="360" w:lineRule="auto"/>
              <w:jc w:val="both"/>
              <w:rPr>
                <w:rFonts w:ascii="Arial" w:eastAsia="Times New Roman" w:hAnsi="Arial" w:cs="Times New Roman"/>
                <w:szCs w:val="22"/>
                <w:lang w:val="es-MX"/>
              </w:rPr>
            </w:pPr>
            <w:r w:rsidRPr="00C3771B">
              <w:rPr>
                <w:rFonts w:ascii="Arial" w:eastAsia="Times New Roman" w:hAnsi="Arial" w:cs="Times New Roman"/>
                <w:b/>
                <w:bCs/>
                <w:i/>
                <w:iCs/>
                <w:szCs w:val="22"/>
                <w:lang w:val="es-MX"/>
              </w:rPr>
              <w:t>Visión</w:t>
            </w:r>
          </w:p>
        </w:tc>
      </w:tr>
      <w:tr w:rsidR="00C3771B" w:rsidRPr="006F0DEF" w14:paraId="68D4A5CE" w14:textId="77777777" w:rsidTr="00F43DA0">
        <w:trPr>
          <w:trHeight w:val="460"/>
          <w:tblCellSpacing w:w="15" w:type="dxa"/>
        </w:trPr>
        <w:tc>
          <w:tcPr>
            <w:tcW w:w="9098" w:type="dxa"/>
            <w:vAlign w:val="center"/>
            <w:hideMark/>
          </w:tcPr>
          <w:p w14:paraId="09AA6440" w14:textId="77777777" w:rsidR="00C3771B" w:rsidRPr="00C3771B" w:rsidRDefault="00C3771B" w:rsidP="00F43DA0">
            <w:pPr>
              <w:spacing w:line="360" w:lineRule="auto"/>
              <w:jc w:val="both"/>
              <w:rPr>
                <w:rFonts w:ascii="Arial" w:eastAsia="Times New Roman" w:hAnsi="Arial" w:cs="Times New Roman"/>
                <w:szCs w:val="22"/>
                <w:lang w:val="es-MX"/>
              </w:rPr>
            </w:pPr>
            <w:r w:rsidRPr="00C3771B">
              <w:rPr>
                <w:rFonts w:ascii="Arial" w:eastAsia="Times New Roman" w:hAnsi="Arial" w:cs="Times New Roman"/>
                <w:szCs w:val="22"/>
                <w:lang w:val="es-MX"/>
              </w:rPr>
              <w:t>Que el Instituto Mexicano del Seguro Social a través de la Dirección de Prestaciones Médicas y la Coordinación de Educación en Salud, forme y disponga de los servicios de atención médica de los mejores profesionales de la salud en el País y en América Latina para bien de la sociedad mexicana y particularmente de los derechohabientes.</w:t>
            </w:r>
          </w:p>
        </w:tc>
      </w:tr>
    </w:tbl>
    <w:p w14:paraId="535CAA1F" w14:textId="77777777" w:rsidR="00840886" w:rsidRDefault="00840886" w:rsidP="00840886">
      <w:pPr>
        <w:spacing w:line="360" w:lineRule="auto"/>
        <w:jc w:val="both"/>
        <w:rPr>
          <w:rFonts w:ascii="Arial" w:hAnsi="Arial"/>
          <w:color w:val="000000"/>
        </w:rPr>
      </w:pPr>
    </w:p>
    <w:p w14:paraId="24F73E2E" w14:textId="77777777" w:rsidR="00840886" w:rsidRDefault="00840886" w:rsidP="00840886">
      <w:pPr>
        <w:spacing w:line="360" w:lineRule="auto"/>
        <w:jc w:val="both"/>
        <w:rPr>
          <w:rFonts w:ascii="Arial" w:hAnsi="Arial"/>
        </w:rPr>
      </w:pPr>
      <w:r>
        <w:rPr>
          <w:rFonts w:ascii="Arial" w:eastAsia="Arial" w:hAnsi="Arial" w:cs="Arial"/>
          <w:color w:val="000000"/>
        </w:rPr>
        <w:t xml:space="preserve">El personal de salud de las unidades médicas otorga a la población </w:t>
      </w:r>
      <w:r>
        <w:rPr>
          <w:rFonts w:ascii="Arial" w:eastAsia="Arial" w:hAnsi="Arial" w:cs="Arial"/>
        </w:rPr>
        <w:t>derechohabiente los componentes de PREVENIMSS que forman parte de los procesos de promoción de la salud, vigilancia de la nutrición, prevención y control de enfermedades, detección de enfermedades y de salud sexual y reproductiva de acuerdo al grupo de edad y sexo al que pertenezcan.</w:t>
      </w:r>
      <w:r>
        <w:rPr>
          <w:rFonts w:ascii="Arial" w:eastAsia="Arial" w:hAnsi="Arial" w:cs="Arial"/>
          <w:color w:val="000000"/>
        </w:rPr>
        <w:t xml:space="preserve"> </w:t>
      </w:r>
    </w:p>
    <w:p w14:paraId="3C193929" w14:textId="77777777" w:rsidR="00840886" w:rsidRPr="00C3771B" w:rsidRDefault="00840886" w:rsidP="00840886">
      <w:pPr>
        <w:spacing w:line="360" w:lineRule="auto"/>
        <w:jc w:val="center"/>
        <w:rPr>
          <w:rFonts w:ascii="Arial" w:eastAsia="Arial" w:hAnsi="Arial" w:cs="Arial"/>
          <w:b/>
          <w:bCs/>
          <w:color w:val="000000" w:themeColor="text1"/>
        </w:rPr>
      </w:pPr>
      <w:r w:rsidRPr="00C3771B">
        <w:rPr>
          <w:rFonts w:ascii="Arial" w:eastAsia="Arial" w:hAnsi="Arial" w:cs="Arial"/>
          <w:b/>
          <w:bCs/>
          <w:color w:val="000000" w:themeColor="text1"/>
        </w:rPr>
        <w:t>II. Diagnóstico situacional</w:t>
      </w:r>
    </w:p>
    <w:p w14:paraId="19AB9934" w14:textId="6F532855" w:rsidR="00840886" w:rsidRDefault="00840886" w:rsidP="00840886">
      <w:pPr>
        <w:spacing w:line="360" w:lineRule="auto"/>
        <w:jc w:val="both"/>
        <w:rPr>
          <w:rFonts w:ascii="Arial" w:eastAsia="Arial" w:hAnsi="Arial" w:cs="Arial"/>
          <w:color w:val="000000"/>
        </w:rPr>
      </w:pPr>
      <w:r>
        <w:rPr>
          <w:rFonts w:ascii="Arial" w:eastAsia="Arial" w:hAnsi="Arial" w:cs="Arial"/>
          <w:color w:val="000000"/>
        </w:rPr>
        <w:t xml:space="preserve">La continuidad que se les ha dado a los Programas Integrados de Salud (PREVENIMSS), ha favorecido un cambio en la utilización de los servicios de salud de la población derechohabiente, al observarse en los últimos tres años un incremento en la atención preventiva en razón a la atención curativa, ya que en 2009, por cada 2.73 consultas de medicina familiar se realizaba una de medicina preventiva y en 2015, se realizó una por cada 3.4 consultas de medicina familiar. </w:t>
      </w:r>
    </w:p>
    <w:p w14:paraId="67211B88" w14:textId="77777777" w:rsidR="00840886" w:rsidRDefault="00840886" w:rsidP="00840886">
      <w:pPr>
        <w:spacing w:line="360" w:lineRule="auto"/>
        <w:jc w:val="both"/>
        <w:rPr>
          <w:rFonts w:ascii="Arial" w:hAnsi="Arial" w:cs="Arial"/>
        </w:rPr>
      </w:pPr>
      <w:r>
        <w:rPr>
          <w:rFonts w:ascii="Arial" w:hAnsi="Arial" w:cs="Arial"/>
        </w:rPr>
        <w:t xml:space="preserve">En el último año </w:t>
      </w:r>
      <w:r w:rsidRPr="005879DE">
        <w:rPr>
          <w:rFonts w:ascii="Arial" w:hAnsi="Arial" w:cs="Arial"/>
        </w:rPr>
        <w:t>379,858</w:t>
      </w:r>
      <w:r>
        <w:rPr>
          <w:rFonts w:ascii="Arial" w:hAnsi="Arial" w:cs="Arial"/>
        </w:rPr>
        <w:t xml:space="preserve"> derechohabientes regresaron a recibir sus acciones educativas de nutrición, prevención, protección específica, detección oportuna y salud reproductiva, que les corresponden según su grupo de edad y sexo, lo que corresponde a un 46.4% de incremento al compararse con los 285,987 derechohabientes atendidos en 2008.</w:t>
      </w:r>
    </w:p>
    <w:p w14:paraId="7C2A20B8" w14:textId="23401E82" w:rsidR="00840886" w:rsidRDefault="00840886" w:rsidP="00840886">
      <w:pPr>
        <w:spacing w:line="360" w:lineRule="auto"/>
        <w:rPr>
          <w:rFonts w:ascii="Arial" w:hAnsi="Arial" w:cs="Arial"/>
          <w:b/>
          <w:bCs/>
        </w:rPr>
      </w:pPr>
      <w:r>
        <w:rPr>
          <w:rFonts w:ascii="Arial" w:hAnsi="Arial" w:cs="Arial"/>
          <w:b/>
          <w:bCs/>
          <w:noProof/>
          <w:lang w:val="es-ES" w:eastAsia="es-ES"/>
        </w:rPr>
        <w:drawing>
          <wp:inline distT="0" distB="0" distL="0" distR="0" wp14:anchorId="04454F5B" wp14:editId="09FBFDB1">
            <wp:extent cx="6195060" cy="1722755"/>
            <wp:effectExtent l="0" t="0" r="2540" b="4445"/>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1722755"/>
                    </a:xfrm>
                    <a:prstGeom prst="rect">
                      <a:avLst/>
                    </a:prstGeom>
                    <a:noFill/>
                  </pic:spPr>
                </pic:pic>
              </a:graphicData>
            </a:graphic>
          </wp:inline>
        </w:drawing>
      </w:r>
    </w:p>
    <w:p w14:paraId="77363DC2" w14:textId="77777777" w:rsidR="00840886" w:rsidRDefault="00840886" w:rsidP="00840886">
      <w:pPr>
        <w:spacing w:line="360" w:lineRule="auto"/>
        <w:rPr>
          <w:rFonts w:ascii="Arial" w:hAnsi="Arial" w:cs="Arial"/>
          <w:b/>
          <w:bCs/>
        </w:rPr>
      </w:pPr>
    </w:p>
    <w:p w14:paraId="76EC32AF" w14:textId="77777777" w:rsidR="00840886" w:rsidRDefault="00840886" w:rsidP="00840886">
      <w:pPr>
        <w:spacing w:line="360" w:lineRule="auto"/>
        <w:rPr>
          <w:rFonts w:ascii="Arial" w:hAnsi="Arial" w:cs="Arial"/>
          <w:b/>
          <w:bCs/>
        </w:rPr>
      </w:pPr>
      <w:r>
        <w:rPr>
          <w:rFonts w:ascii="Arial" w:hAnsi="Arial" w:cs="Arial"/>
          <w:b/>
          <w:bCs/>
        </w:rPr>
        <w:t>Programa de Salud de niñas y niños menores de 10 años</w:t>
      </w:r>
    </w:p>
    <w:p w14:paraId="59321B8E" w14:textId="700E4AA9" w:rsidR="00840886" w:rsidRPr="00C3771B" w:rsidRDefault="00840886" w:rsidP="00C3771B">
      <w:pPr>
        <w:autoSpaceDE w:val="0"/>
        <w:spacing w:line="360" w:lineRule="auto"/>
        <w:jc w:val="both"/>
        <w:rPr>
          <w:rFonts w:ascii="Arial" w:eastAsia="Times New Roman" w:hAnsi="Arial" w:cs="Arial"/>
          <w:color w:val="000000"/>
          <w:lang w:eastAsia="ar-SA"/>
        </w:rPr>
      </w:pPr>
      <w:r>
        <w:rPr>
          <w:rFonts w:ascii="Arial" w:eastAsia="Times New Roman" w:hAnsi="Arial" w:cs="Arial"/>
          <w:color w:val="000000"/>
          <w:lang w:eastAsia="ar-SA"/>
        </w:rPr>
        <w:t xml:space="preserve">En 2015 se beneficiaron 76,943 niñas y niños menores de 10 años con acciones de promoción de la salud, vigilancia del estado de nutrición, protección específica y detección oportuna de enfermedades, con una cobertura de Atención Integral PREVENIMSS de 87.04%, cifra superior en 79.01% a la registrada en 2008. </w:t>
      </w:r>
    </w:p>
    <w:p w14:paraId="3621CF91" w14:textId="54162174" w:rsidR="00840886" w:rsidRDefault="00840886" w:rsidP="00840886">
      <w:pPr>
        <w:pStyle w:val="Default"/>
        <w:spacing w:line="360" w:lineRule="auto"/>
        <w:jc w:val="both"/>
        <w:rPr>
          <w:rFonts w:ascii="Arial" w:eastAsia="Times New Roman" w:hAnsi="Arial" w:cs="Arial"/>
          <w:lang w:eastAsia="ar-SA" w:bidi="ar-SA"/>
        </w:rPr>
      </w:pPr>
      <w:r>
        <w:rPr>
          <w:rFonts w:ascii="Arial" w:eastAsia="Times New Roman" w:hAnsi="Arial" w:cs="Arial"/>
          <w:lang w:eastAsia="ar-SA" w:bidi="ar-SA"/>
        </w:rPr>
        <w:t>La vigilancia del estado nutricional, así como las acciones orientadas a favorecer la alimentación correcta de los niños desde su nacimiento, tienen un papel fundamental en este grupo e incluyen entre otras la promoción de la lactancia materna, la prevención de anemia y de cualquier grado de malnutrición.</w:t>
      </w:r>
    </w:p>
    <w:p w14:paraId="4A24C7F7" w14:textId="77777777" w:rsidR="00840886" w:rsidRDefault="00840886" w:rsidP="00840886">
      <w:pPr>
        <w:pStyle w:val="Default"/>
        <w:spacing w:line="360" w:lineRule="auto"/>
        <w:jc w:val="both"/>
        <w:rPr>
          <w:rFonts w:ascii="Arial" w:hAnsi="Arial" w:cs="Arial"/>
        </w:rPr>
      </w:pPr>
      <w:r>
        <w:rPr>
          <w:rFonts w:ascii="Arial" w:hAnsi="Arial" w:cs="Arial"/>
        </w:rPr>
        <w:t xml:space="preserve">Cabe resaltar los esfuerzos orientados a la prevención y control del sobrepeso y la obesidad por el grave problema de salud pública que constituyen desde etapas tempranas de la vida. Durante 2015 se evaluó el estado nutricional a 52,602 niños. En 2016 se estima que la vigilancia del estado nutricional rebasará los 60 mil niñas y niños evaluados y que se podrá disminuir una o dos décimas más la prevalencia de obesidad.  </w:t>
      </w:r>
    </w:p>
    <w:p w14:paraId="001823DA" w14:textId="77777777" w:rsidR="00840886" w:rsidRDefault="00840886" w:rsidP="00840886">
      <w:pPr>
        <w:pStyle w:val="Default"/>
        <w:rPr>
          <w:rFonts w:ascii="Arial" w:hAnsi="Arial" w:cs="Arial"/>
        </w:rPr>
      </w:pPr>
    </w:p>
    <w:p w14:paraId="3A5A2266" w14:textId="5436C450" w:rsidR="00840886" w:rsidRDefault="00840886" w:rsidP="00840886">
      <w:pPr>
        <w:pStyle w:val="Default"/>
        <w:spacing w:line="360" w:lineRule="auto"/>
        <w:rPr>
          <w:rFonts w:ascii="Arial" w:hAnsi="Arial" w:cs="Arial"/>
        </w:rPr>
      </w:pPr>
      <w:r>
        <w:rPr>
          <w:rFonts w:ascii="Arial" w:hAnsi="Arial" w:cs="Arial"/>
        </w:rPr>
        <w:t>La prevención de anemia en los menores de un año se mantiene en una cobertura de 82.5%, lo que contribuye a que los niños tengan un mejor desempeño durante la etapa escolar.</w:t>
      </w:r>
    </w:p>
    <w:p w14:paraId="5816541C" w14:textId="050CB98B" w:rsidR="00840886" w:rsidRDefault="00840886" w:rsidP="00840886">
      <w:pPr>
        <w:pStyle w:val="Default"/>
        <w:spacing w:line="360" w:lineRule="auto"/>
        <w:jc w:val="both"/>
        <w:rPr>
          <w:rFonts w:ascii="Arial" w:hAnsi="Arial" w:cs="Arial"/>
        </w:rPr>
      </w:pPr>
      <w:r>
        <w:rPr>
          <w:rFonts w:ascii="Arial" w:hAnsi="Arial" w:cs="Arial"/>
        </w:rPr>
        <w:t>Uno de los indicadores más representativos en este Programa de Salud es la cobertura de vacunación con esquemas completos en niños de un año de edad, cabe señalar que desde el 2009 con los cambios de la plataforma informática sectorial que genera trimestralmente esta cobertura y a hasta la fecha, los diversos problemas técnicos no han permitido mostrar las coberturas reales alcanzadas. Sin embargo, el comportamiento epidemiológico de las enfermedades inmunoprevenibles, así como el monitoreo de las acciones de vacunación realizadas, fundamentan la estimación de que la cobertura con esquemas completos en niños derechohabientes de un año es de 95.0%.</w:t>
      </w:r>
    </w:p>
    <w:p w14:paraId="6BA58D29" w14:textId="77777777" w:rsidR="00840886" w:rsidRDefault="00840886" w:rsidP="00840886">
      <w:pPr>
        <w:pStyle w:val="Default"/>
        <w:spacing w:line="360" w:lineRule="auto"/>
        <w:jc w:val="both"/>
        <w:rPr>
          <w:rFonts w:ascii="Arial" w:hAnsi="Arial" w:cs="Arial"/>
        </w:rPr>
      </w:pPr>
      <w:r>
        <w:rPr>
          <w:rFonts w:ascii="Arial" w:hAnsi="Arial" w:cs="Arial"/>
        </w:rPr>
        <w:t>Además del cambio del sistema informático, se tuvo problema con el abasto de vacunas debido a los siguientes factores, la mayoría de ellos atribuibles a limitantes extra institucionales:</w:t>
      </w:r>
    </w:p>
    <w:p w14:paraId="492559AD" w14:textId="77777777" w:rsidR="00840886" w:rsidRDefault="00840886" w:rsidP="00840886">
      <w:pPr>
        <w:pStyle w:val="Default"/>
        <w:numPr>
          <w:ilvl w:val="0"/>
          <w:numId w:val="8"/>
        </w:numPr>
        <w:spacing w:line="360" w:lineRule="auto"/>
        <w:jc w:val="both"/>
        <w:rPr>
          <w:rFonts w:ascii="Arial" w:hAnsi="Arial" w:cs="Arial"/>
        </w:rPr>
      </w:pPr>
      <w:r>
        <w:rPr>
          <w:rFonts w:ascii="Arial" w:hAnsi="Arial" w:cs="Arial"/>
        </w:rPr>
        <w:t>Retraso en las licitaciones de las compras consolidadas con otras Instituciones del Sector Salud.</w:t>
      </w:r>
    </w:p>
    <w:p w14:paraId="38EE1E63" w14:textId="77777777" w:rsidR="00840886" w:rsidRDefault="00840886" w:rsidP="00840886">
      <w:pPr>
        <w:pStyle w:val="Default"/>
        <w:numPr>
          <w:ilvl w:val="0"/>
          <w:numId w:val="8"/>
        </w:numPr>
        <w:spacing w:line="360" w:lineRule="auto"/>
        <w:jc w:val="both"/>
        <w:rPr>
          <w:rFonts w:ascii="Arial" w:hAnsi="Arial" w:cs="Arial"/>
        </w:rPr>
      </w:pPr>
      <w:r>
        <w:rPr>
          <w:rFonts w:ascii="Arial" w:hAnsi="Arial" w:cs="Arial"/>
        </w:rPr>
        <w:t>Suspensión de la liberación simplificada de vacunas por parte de la Comisión Federal para la Protección contra Riesgos Sanitarios (COFEPRIS), lo que difiere aún más el envío de la vacuna a Delegaciones y nivel Operativo, entre 30 y 90 días a partir de su recepción en el almacén central.</w:t>
      </w:r>
    </w:p>
    <w:p w14:paraId="22107BF5" w14:textId="77777777" w:rsidR="00840886" w:rsidRDefault="00840886" w:rsidP="00840886">
      <w:pPr>
        <w:numPr>
          <w:ilvl w:val="0"/>
          <w:numId w:val="8"/>
        </w:numPr>
        <w:autoSpaceDE w:val="0"/>
        <w:spacing w:after="0" w:line="360" w:lineRule="auto"/>
        <w:rPr>
          <w:rFonts w:ascii="Arial" w:eastAsia="Times New Roman" w:hAnsi="Arial" w:cs="Arial"/>
          <w:color w:val="000000"/>
          <w:lang w:eastAsia="ar-SA"/>
        </w:rPr>
      </w:pPr>
      <w:r w:rsidRPr="00D50967">
        <w:rPr>
          <w:rFonts w:ascii="Arial" w:eastAsia="Times New Roman" w:hAnsi="Arial" w:cs="Arial"/>
          <w:color w:val="000000"/>
          <w:lang w:eastAsia="ar-SA"/>
        </w:rPr>
        <w:t>Retraso en la liberación de la</w:t>
      </w:r>
      <w:r>
        <w:rPr>
          <w:rFonts w:ascii="Arial" w:eastAsia="Times New Roman" w:hAnsi="Arial" w:cs="Arial"/>
          <w:color w:val="000000"/>
          <w:lang w:eastAsia="ar-SA"/>
        </w:rPr>
        <w:t>s</w:t>
      </w:r>
      <w:r w:rsidRPr="00D50967">
        <w:rPr>
          <w:rFonts w:ascii="Arial" w:eastAsia="Times New Roman" w:hAnsi="Arial" w:cs="Arial"/>
          <w:color w:val="000000"/>
          <w:lang w:eastAsia="ar-SA"/>
        </w:rPr>
        <w:t xml:space="preserve"> vacuna</w:t>
      </w:r>
      <w:r>
        <w:rPr>
          <w:rFonts w:ascii="Arial" w:eastAsia="Times New Roman" w:hAnsi="Arial" w:cs="Arial"/>
          <w:color w:val="000000"/>
          <w:lang w:eastAsia="ar-SA"/>
        </w:rPr>
        <w:t>s</w:t>
      </w:r>
      <w:r w:rsidRPr="00D50967">
        <w:rPr>
          <w:rFonts w:ascii="Arial" w:eastAsia="Times New Roman" w:hAnsi="Arial" w:cs="Arial"/>
          <w:color w:val="000000"/>
          <w:lang w:eastAsia="ar-SA"/>
        </w:rPr>
        <w:t xml:space="preserve"> </w:t>
      </w:r>
      <w:r>
        <w:rPr>
          <w:rFonts w:ascii="Arial" w:eastAsia="Times New Roman" w:hAnsi="Arial" w:cs="Arial"/>
          <w:color w:val="000000"/>
          <w:lang w:eastAsia="ar-SA"/>
        </w:rPr>
        <w:t xml:space="preserve">Anti-hepatitis B, toxoide tetánico diftérico, vacuna doble viral contra sarampión rubéola, vacuna triple viral contra sarampión, rubéola y parotiditis, vacua contra difteria, tosferina y tétanos y vacuna pentavalente </w:t>
      </w:r>
      <w:proofErr w:type="spellStart"/>
      <w:r>
        <w:rPr>
          <w:rFonts w:ascii="Arial" w:eastAsia="Times New Roman" w:hAnsi="Arial" w:cs="Arial"/>
          <w:color w:val="000000"/>
          <w:lang w:eastAsia="ar-SA"/>
        </w:rPr>
        <w:t>acelular</w:t>
      </w:r>
      <w:proofErr w:type="spellEnd"/>
      <w:r>
        <w:rPr>
          <w:rFonts w:ascii="Arial" w:eastAsia="Times New Roman" w:hAnsi="Arial" w:cs="Arial"/>
          <w:color w:val="000000"/>
          <w:lang w:eastAsia="ar-SA"/>
        </w:rPr>
        <w:t xml:space="preserve"> contra difteria, tos ferina, tétanos, poliomielitis y enfermedad invasiva por </w:t>
      </w:r>
      <w:proofErr w:type="spellStart"/>
      <w:r>
        <w:rPr>
          <w:rFonts w:ascii="Arial" w:eastAsia="Times New Roman" w:hAnsi="Arial" w:cs="Arial"/>
          <w:color w:val="000000"/>
          <w:lang w:eastAsia="ar-SA"/>
        </w:rPr>
        <w:t>Haemophilus</w:t>
      </w:r>
      <w:proofErr w:type="spellEnd"/>
      <w:r>
        <w:rPr>
          <w:rFonts w:ascii="Arial" w:eastAsia="Times New Roman" w:hAnsi="Arial" w:cs="Arial"/>
          <w:color w:val="000000"/>
          <w:lang w:eastAsia="ar-SA"/>
        </w:rPr>
        <w:t xml:space="preserve"> </w:t>
      </w:r>
      <w:proofErr w:type="spellStart"/>
      <w:r>
        <w:rPr>
          <w:rFonts w:ascii="Arial" w:eastAsia="Times New Roman" w:hAnsi="Arial" w:cs="Arial"/>
          <w:color w:val="000000"/>
          <w:lang w:eastAsia="ar-SA"/>
        </w:rPr>
        <w:t>influezae</w:t>
      </w:r>
      <w:proofErr w:type="spellEnd"/>
      <w:r>
        <w:rPr>
          <w:rFonts w:ascii="Arial" w:eastAsia="Times New Roman" w:hAnsi="Arial" w:cs="Arial"/>
          <w:color w:val="000000"/>
          <w:lang w:eastAsia="ar-SA"/>
        </w:rPr>
        <w:t xml:space="preserve"> tipo b.</w:t>
      </w:r>
      <w:r w:rsidRPr="00D50967">
        <w:rPr>
          <w:rFonts w:ascii="Arial" w:eastAsia="Times New Roman" w:hAnsi="Arial" w:cs="Arial"/>
          <w:color w:val="000000"/>
          <w:lang w:eastAsia="ar-SA"/>
        </w:rPr>
        <w:t xml:space="preserve"> </w:t>
      </w:r>
    </w:p>
    <w:p w14:paraId="6D701E1F" w14:textId="77777777" w:rsidR="00840886" w:rsidRPr="00D50967" w:rsidRDefault="00840886" w:rsidP="00840886">
      <w:pPr>
        <w:numPr>
          <w:ilvl w:val="0"/>
          <w:numId w:val="8"/>
        </w:numPr>
        <w:autoSpaceDE w:val="0"/>
        <w:spacing w:after="0" w:line="360" w:lineRule="auto"/>
        <w:rPr>
          <w:rFonts w:ascii="Arial" w:eastAsia="Times New Roman" w:hAnsi="Arial" w:cs="Arial"/>
          <w:color w:val="000000"/>
          <w:lang w:eastAsia="ar-SA"/>
        </w:rPr>
      </w:pPr>
      <w:r w:rsidRPr="00D50967">
        <w:rPr>
          <w:rFonts w:ascii="Arial" w:eastAsia="Times New Roman" w:hAnsi="Arial" w:cs="Arial"/>
          <w:color w:val="000000"/>
          <w:lang w:eastAsia="ar-SA"/>
        </w:rPr>
        <w:t xml:space="preserve">Incumplimiento en la entrega de insumos por parte de los proveedores al almacén central. </w:t>
      </w:r>
    </w:p>
    <w:p w14:paraId="01408D57" w14:textId="77777777" w:rsidR="00840886" w:rsidRDefault="00840886" w:rsidP="00840886">
      <w:pPr>
        <w:autoSpaceDE w:val="0"/>
        <w:spacing w:line="360" w:lineRule="auto"/>
        <w:rPr>
          <w:rFonts w:ascii="Arial" w:eastAsia="Times New Roman" w:hAnsi="Arial" w:cs="Arial"/>
          <w:color w:val="000000"/>
          <w:lang w:eastAsia="ar-SA"/>
        </w:rPr>
      </w:pPr>
    </w:p>
    <w:p w14:paraId="1E223F94" w14:textId="6A3B6E8B" w:rsidR="00840886" w:rsidRDefault="00840886" w:rsidP="00840886">
      <w:pPr>
        <w:autoSpaceDE w:val="0"/>
        <w:spacing w:line="360" w:lineRule="auto"/>
        <w:jc w:val="both"/>
        <w:rPr>
          <w:rFonts w:ascii="Arial" w:eastAsia="Times New Roman" w:hAnsi="Arial" w:cs="Arial"/>
          <w:color w:val="000000"/>
          <w:lang w:eastAsia="ar-SA"/>
        </w:rPr>
      </w:pPr>
      <w:r>
        <w:rPr>
          <w:rFonts w:ascii="Arial" w:eastAsia="Times New Roman" w:hAnsi="Arial" w:cs="Arial"/>
          <w:color w:val="000000"/>
          <w:lang w:eastAsia="ar-SA"/>
        </w:rPr>
        <w:t xml:space="preserve">Para mantener erradicado al polio virus silvestre del territorio estatal, se ha continuado con la participación en la estrategia de Semanas Nacionales de Salud. El IMSS protegió con acciones de vacunación anti poliomielítica oral durante las dos Primeras Semanas de Salud de 2015, a 77,850 niños menores de cinco años en las áreas de responsabilidad institucional, independientemente de su </w:t>
      </w:r>
      <w:proofErr w:type="spellStart"/>
      <w:r>
        <w:rPr>
          <w:rFonts w:ascii="Arial" w:eastAsia="Times New Roman" w:hAnsi="Arial" w:cs="Arial"/>
          <w:color w:val="000000"/>
          <w:lang w:eastAsia="ar-SA"/>
        </w:rPr>
        <w:t>derechohabiencia</w:t>
      </w:r>
      <w:proofErr w:type="spellEnd"/>
      <w:r>
        <w:rPr>
          <w:rFonts w:ascii="Arial" w:eastAsia="Times New Roman" w:hAnsi="Arial" w:cs="Arial"/>
          <w:color w:val="000000"/>
          <w:lang w:eastAsia="ar-SA"/>
        </w:rPr>
        <w:t xml:space="preserve">. </w:t>
      </w:r>
    </w:p>
    <w:p w14:paraId="17F1503A" w14:textId="6460A233" w:rsidR="00840886" w:rsidRDefault="00840886" w:rsidP="00840886">
      <w:pPr>
        <w:autoSpaceDE w:val="0"/>
        <w:spacing w:line="360" w:lineRule="auto"/>
        <w:jc w:val="both"/>
        <w:rPr>
          <w:rFonts w:ascii="Arial" w:eastAsia="Times New Roman" w:hAnsi="Arial" w:cs="Arial"/>
          <w:color w:val="000000"/>
          <w:lang w:eastAsia="ar-SA"/>
        </w:rPr>
      </w:pPr>
      <w:r>
        <w:rPr>
          <w:rFonts w:ascii="Arial" w:eastAsia="Times New Roman" w:hAnsi="Arial" w:cs="Arial"/>
          <w:color w:val="000000"/>
          <w:lang w:eastAsia="ar-SA"/>
        </w:rPr>
        <w:t xml:space="preserve">En 2013, durante la Tercera Semana Nacional de Salud, se dio inicio a la vacunación universal contra el Virus del Papiloma Humano en las escolares de quinto año de primaria, el IMSS cumplió la meta comprometida en un 98.16% con la vacunación de 5,123 niñas en las escuelas bajo responsabilidad del Instituto. </w:t>
      </w:r>
      <w:r w:rsidRPr="00C22B57">
        <w:rPr>
          <w:rFonts w:ascii="Arial" w:eastAsia="Times New Roman" w:hAnsi="Arial" w:cs="Arial"/>
          <w:color w:val="000000"/>
          <w:lang w:eastAsia="ar-SA"/>
        </w:rPr>
        <w:t>Para 2015,</w:t>
      </w:r>
      <w:r>
        <w:rPr>
          <w:rFonts w:ascii="Arial" w:eastAsia="Times New Roman" w:hAnsi="Arial" w:cs="Arial"/>
          <w:color w:val="000000"/>
          <w:lang w:eastAsia="ar-SA"/>
        </w:rPr>
        <w:t xml:space="preserve"> se logró beneficiar a 7,104 niñas.</w:t>
      </w:r>
    </w:p>
    <w:p w14:paraId="448D31DA" w14:textId="6C32652F" w:rsidR="00840886" w:rsidRDefault="00840886" w:rsidP="00840886">
      <w:pPr>
        <w:autoSpaceDE w:val="0"/>
        <w:spacing w:line="360" w:lineRule="auto"/>
        <w:jc w:val="both"/>
        <w:rPr>
          <w:rFonts w:ascii="Arial" w:eastAsia="Times New Roman" w:hAnsi="Arial" w:cs="Arial"/>
          <w:color w:val="000000"/>
          <w:lang w:eastAsia="ar-SA"/>
        </w:rPr>
      </w:pPr>
      <w:r>
        <w:rPr>
          <w:rFonts w:ascii="Arial" w:eastAsia="Times New Roman" w:hAnsi="Arial" w:cs="Arial"/>
          <w:color w:val="000000"/>
          <w:lang w:eastAsia="ar-SA"/>
        </w:rPr>
        <w:t xml:space="preserve">Un componente de gran relevancia en los recién nacidos, es la detección de enfermedades metabólicas congénitas, que además del tamiz de hipotiroidismo congénito, que se realiza en el Sector Salud, para los derechohabientes del IMSS incluye la detección de fenilcetonuria, deficiencia de </w:t>
      </w:r>
      <w:proofErr w:type="spellStart"/>
      <w:r>
        <w:rPr>
          <w:rFonts w:ascii="Arial" w:eastAsia="Times New Roman" w:hAnsi="Arial" w:cs="Arial"/>
          <w:color w:val="000000"/>
          <w:lang w:eastAsia="ar-SA"/>
        </w:rPr>
        <w:t>biotinidasa</w:t>
      </w:r>
      <w:proofErr w:type="spellEnd"/>
      <w:r>
        <w:rPr>
          <w:rFonts w:ascii="Arial" w:eastAsia="Times New Roman" w:hAnsi="Arial" w:cs="Arial"/>
          <w:color w:val="000000"/>
          <w:lang w:eastAsia="ar-SA"/>
        </w:rPr>
        <w:t xml:space="preserve">, hiperplasia adrenal congénita y a partir de 2012, también de galactosemia, padecimientos que si no se diagnostican y tratan tempranamente ocasionan retraso físico o mental, muerte prematura y definición incorrecta de sexo, entre otras complicaciones. </w:t>
      </w:r>
    </w:p>
    <w:p w14:paraId="5D117162" w14:textId="6F215122" w:rsidR="00840886" w:rsidRDefault="00840886" w:rsidP="00840886">
      <w:pPr>
        <w:autoSpaceDE w:val="0"/>
        <w:spacing w:line="360" w:lineRule="auto"/>
        <w:jc w:val="both"/>
        <w:rPr>
          <w:rFonts w:ascii="Arial" w:eastAsia="Times New Roman" w:hAnsi="Arial" w:cs="Arial"/>
          <w:color w:val="000000"/>
          <w:lang w:eastAsia="ar-SA"/>
        </w:rPr>
      </w:pPr>
      <w:r>
        <w:rPr>
          <w:rFonts w:ascii="Arial" w:eastAsia="Times New Roman" w:hAnsi="Arial" w:cs="Arial"/>
          <w:color w:val="000000"/>
          <w:lang w:eastAsia="ar-SA"/>
        </w:rPr>
        <w:t xml:space="preserve">A diciembre de 2015 se mantuvo la cobertura de 95.3%, en la detección de enfermedades metabólicas congénitas, cifra ligeramente superior al valor de referencia (95%), lo anterior, ha permitido detectar y tratar oportunamente a 1 caso de hipotiroidismo congénito y 2 casos de hiperplasia adrenal congénita. </w:t>
      </w:r>
    </w:p>
    <w:p w14:paraId="51338971" w14:textId="7C1FE857" w:rsidR="00840886" w:rsidRDefault="00840886" w:rsidP="00840886">
      <w:pPr>
        <w:autoSpaceDE w:val="0"/>
        <w:spacing w:line="360" w:lineRule="auto"/>
        <w:jc w:val="both"/>
        <w:rPr>
          <w:rFonts w:ascii="Arial" w:eastAsia="Times New Roman" w:hAnsi="Arial" w:cs="Arial"/>
          <w:color w:val="000000"/>
          <w:lang w:eastAsia="ar-SA"/>
        </w:rPr>
      </w:pPr>
      <w:r w:rsidRPr="00C22B57">
        <w:rPr>
          <w:rFonts w:ascii="Arial" w:eastAsia="Times New Roman" w:hAnsi="Arial" w:cs="Arial"/>
          <w:color w:val="000000"/>
          <w:lang w:eastAsia="ar-SA"/>
        </w:rPr>
        <w:t xml:space="preserve">Desde 2013 se implementó en  guarderías la estrategia educativa para niños de 4 a 6 años de edad, denominada </w:t>
      </w:r>
      <w:proofErr w:type="spellStart"/>
      <w:r w:rsidRPr="00C22B57">
        <w:rPr>
          <w:rFonts w:ascii="Arial" w:eastAsia="Times New Roman" w:hAnsi="Arial" w:cs="Arial"/>
          <w:color w:val="000000"/>
          <w:lang w:eastAsia="ar-SA"/>
        </w:rPr>
        <w:t>ChiquitIMSS</w:t>
      </w:r>
      <w:proofErr w:type="spellEnd"/>
      <w:r w:rsidRPr="00C22B57">
        <w:rPr>
          <w:rFonts w:ascii="Arial" w:eastAsia="Times New Roman" w:hAnsi="Arial" w:cs="Arial"/>
          <w:color w:val="000000"/>
          <w:lang w:eastAsia="ar-SA"/>
        </w:rPr>
        <w:t>, mediante la formación de 5 equipos capacitadores, con lo que se benefició a 1,645 niños e igual número padres.</w:t>
      </w:r>
    </w:p>
    <w:p w14:paraId="412C838D" w14:textId="77777777" w:rsidR="00840886" w:rsidRDefault="00840886" w:rsidP="00840886">
      <w:pPr>
        <w:autoSpaceDE w:val="0"/>
        <w:spacing w:line="360" w:lineRule="auto"/>
        <w:jc w:val="both"/>
        <w:rPr>
          <w:rFonts w:ascii="Arial" w:hAnsi="Arial" w:cs="Arial"/>
          <w:b/>
          <w:bCs/>
        </w:rPr>
      </w:pPr>
      <w:r>
        <w:rPr>
          <w:rFonts w:ascii="Arial" w:hAnsi="Arial" w:cs="Arial"/>
          <w:b/>
          <w:bCs/>
        </w:rPr>
        <w:t>Programa de Salud del Adolescente de 10 a 19 años</w:t>
      </w:r>
    </w:p>
    <w:p w14:paraId="47700031" w14:textId="29855BCF" w:rsidR="00840886" w:rsidRDefault="00840886" w:rsidP="00840886">
      <w:pPr>
        <w:autoSpaceDE w:val="0"/>
        <w:spacing w:line="360" w:lineRule="auto"/>
        <w:jc w:val="both"/>
        <w:rPr>
          <w:rFonts w:ascii="Arial" w:hAnsi="Arial" w:cs="Arial"/>
        </w:rPr>
      </w:pPr>
      <w:r>
        <w:rPr>
          <w:rFonts w:ascii="Arial" w:hAnsi="Arial" w:cs="Arial"/>
        </w:rPr>
        <w:t xml:space="preserve">En 2015, se favorecieron a 69,813 adolescentes con acciones educativas, de nutrición, vacunación, prevención de: VIH/SIDA, infecciones de transmisión sexual, tuberculosis, caries dental; detección de agudeza visual, así como de salud sexual y reproductiva, con una cobertura de Atención Integral PREVENIMSS de 68.54%, lo que representa un incremento de 72.08% en comparación con </w:t>
      </w:r>
      <w:r w:rsidR="00C3771B">
        <w:rPr>
          <w:rFonts w:ascii="Arial" w:hAnsi="Arial" w:cs="Arial"/>
        </w:rPr>
        <w:t>la cobertura alcanzada en 2008.</w:t>
      </w:r>
    </w:p>
    <w:p w14:paraId="3732B7F1" w14:textId="6154CA73" w:rsidR="00840886" w:rsidRDefault="00840886" w:rsidP="00840886">
      <w:pPr>
        <w:autoSpaceDE w:val="0"/>
        <w:spacing w:line="360" w:lineRule="auto"/>
        <w:jc w:val="both"/>
        <w:rPr>
          <w:rFonts w:ascii="Arial" w:hAnsi="Arial" w:cs="Arial"/>
        </w:rPr>
      </w:pPr>
      <w:r>
        <w:rPr>
          <w:rFonts w:ascii="Arial" w:hAnsi="Arial" w:cs="Arial"/>
        </w:rPr>
        <w:t>Un componente prioritario en los adolescentes es la vigilancia del estado de nutrición. La medición de peso y estatura es fundamental, ya que permite conocer el adecuado crecimiento en esta importante etapa de desarrollo, así como el peso con el que el adolescente ingresará a la edad adulta. En 2015 se realizó evaluación nutricional a 49,904 adolescentes, en 2016 se estima que esta cifra será superada, lo que permitirá consolidar la contención de estos problemas y a mediano plazo lograr la disminución paulatina de las prevalencias de sobr</w:t>
      </w:r>
      <w:r w:rsidR="00C3771B">
        <w:rPr>
          <w:rFonts w:ascii="Arial" w:hAnsi="Arial" w:cs="Arial"/>
        </w:rPr>
        <w:t>epeso y obesidad en este grupo.</w:t>
      </w:r>
    </w:p>
    <w:p w14:paraId="0FD88AE3" w14:textId="3D949325" w:rsidR="00840886" w:rsidRDefault="00840886" w:rsidP="00840886">
      <w:pPr>
        <w:autoSpaceDE w:val="0"/>
        <w:spacing w:line="360" w:lineRule="auto"/>
        <w:jc w:val="both"/>
        <w:rPr>
          <w:rFonts w:ascii="Arial" w:hAnsi="Arial" w:cs="Arial"/>
        </w:rPr>
      </w:pPr>
      <w:r>
        <w:rPr>
          <w:rFonts w:ascii="Arial" w:hAnsi="Arial" w:cs="Arial"/>
        </w:rPr>
        <w:t>Durante el año 2015, continuaron las actividades en las escuelas públicas de nivel Medio Superior y Superior, se incorporaron a PREVENIMSS 7,994 estudiantes beneficiados con todas las acciones médico-preventivas del Pro</w:t>
      </w:r>
      <w:r w:rsidR="00C3771B">
        <w:rPr>
          <w:rFonts w:ascii="Arial" w:hAnsi="Arial" w:cs="Arial"/>
        </w:rPr>
        <w:t>grama de Salud del Adolescente.</w:t>
      </w:r>
    </w:p>
    <w:p w14:paraId="2D56D9F3" w14:textId="61D3A6B1" w:rsidR="00840886" w:rsidRPr="006A04CD" w:rsidRDefault="00840886" w:rsidP="00C3771B">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 xml:space="preserve">Se cuenta ya con Convenios de Colaboración con universidades y escuelas de nivel medio superior suscritos a nivel local, así como un convenio firmado en 2015 con la Universidad Autónoma de Chiapas, mediante ellos se formaliza el trabajo a desarrollar en este universo. </w:t>
      </w:r>
    </w:p>
    <w:p w14:paraId="6AA82EBE" w14:textId="40002D38" w:rsidR="00840886" w:rsidRPr="006A04CD" w:rsidRDefault="00840886" w:rsidP="00840886">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 xml:space="preserve">La estrategia JUVENIMSS continúa consolidándose con fundamento en la estrategia educativa entre pares, con énfasis en la promoción de conductas saludables entre las que destacan, la alimentación correcta, la práctica de ejercicio cotidiano, la salud sexual y reproductiva y la prevención de adicciones. Están funcionando 5 Centros JUVENIMSS en Unidades de Medicina Familiar. Se realizaron 30 cursos y se graduaron </w:t>
      </w:r>
      <w:r w:rsidR="00C3771B">
        <w:rPr>
          <w:rFonts w:ascii="Arial" w:eastAsia="Times New Roman" w:hAnsi="Arial" w:cs="Arial"/>
          <w:lang w:eastAsia="ar-SA"/>
        </w:rPr>
        <w:t xml:space="preserve">1,650 promotores adolescentes. </w:t>
      </w:r>
    </w:p>
    <w:p w14:paraId="511619A5" w14:textId="77777777" w:rsidR="00840886" w:rsidRPr="006A04CD" w:rsidRDefault="00840886" w:rsidP="00840886">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La Salud Sexual y Reproductiva, como componente prioritario, se enfoca al ejercicio responsable de la sexualidad para la prevención de embarazos no planeados e infecciones de transmisión sexual, incluido el VIH/SIDA. A diciembre de 2015, se estima que la prevalencia de infección por VIH en este grupo, se mantenga menor a uno por 100,000 adolescentes.</w:t>
      </w:r>
    </w:p>
    <w:p w14:paraId="57E2BAFD" w14:textId="77777777" w:rsidR="00840886" w:rsidRPr="006A04CD" w:rsidRDefault="00840886" w:rsidP="00840886">
      <w:pPr>
        <w:autoSpaceDE w:val="0"/>
        <w:spacing w:line="360" w:lineRule="auto"/>
        <w:jc w:val="both"/>
        <w:rPr>
          <w:rFonts w:ascii="Arial" w:eastAsia="Times New Roman" w:hAnsi="Arial" w:cs="Arial"/>
          <w:lang w:eastAsia="ar-SA"/>
        </w:rPr>
      </w:pPr>
    </w:p>
    <w:p w14:paraId="302C52E7" w14:textId="77777777" w:rsidR="00840886" w:rsidRPr="006A04CD" w:rsidRDefault="00840886" w:rsidP="00840886">
      <w:pPr>
        <w:autoSpaceDE w:val="0"/>
        <w:spacing w:line="360" w:lineRule="auto"/>
        <w:jc w:val="both"/>
        <w:rPr>
          <w:rFonts w:ascii="Arial" w:eastAsia="Times New Roman" w:hAnsi="Arial" w:cs="Arial"/>
          <w:b/>
          <w:bCs/>
          <w:lang w:eastAsia="ar-SA"/>
        </w:rPr>
      </w:pPr>
      <w:r w:rsidRPr="006A04CD">
        <w:rPr>
          <w:rFonts w:ascii="Arial" w:eastAsia="Times New Roman" w:hAnsi="Arial" w:cs="Arial"/>
          <w:b/>
          <w:bCs/>
          <w:lang w:eastAsia="ar-SA"/>
        </w:rPr>
        <w:t xml:space="preserve">Programa de Salud de la Mujer de 20 a 59 años </w:t>
      </w:r>
    </w:p>
    <w:p w14:paraId="3FBEE8C7" w14:textId="70FC01DA" w:rsidR="00840886" w:rsidRPr="006A04CD" w:rsidRDefault="00840886" w:rsidP="00840886">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Con el paquete de acciones correspondientes a su grupo de edad se protegieron 101,027 mujeres, con una cobertura de Atención Integral PREVENIMSS de 56.72%, cifra superior a</w:t>
      </w:r>
      <w:r w:rsidR="00C3771B">
        <w:rPr>
          <w:rFonts w:ascii="Arial" w:eastAsia="Times New Roman" w:hAnsi="Arial" w:cs="Arial"/>
          <w:lang w:eastAsia="ar-SA"/>
        </w:rPr>
        <w:t xml:space="preserve"> la reportada en años previos. </w:t>
      </w:r>
    </w:p>
    <w:p w14:paraId="6726986D" w14:textId="7D279756" w:rsidR="00840886" w:rsidRPr="006A04CD" w:rsidRDefault="00840886" w:rsidP="00840886">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 xml:space="preserve">El mantener un peso adecuado, es uno de los principales objetivos que se pretende lograr en las mujeres derechohabientes. Se toman diferentes medidas para contrarrestar el sobrepeso y la obesidad, tales como las sesiones educativas sobre nutrición y actividad física. Las actividades básicas que realiza el personal para la evaluación nutricional en el módulo PREVENIMSS, son la medición de peso, talla y cintura de las derechohabientes, en promedio anual la evaluación del estado nutricional se realiza a 113,504 mujeres, lográndose en los últimos seis años la contención de </w:t>
      </w:r>
      <w:r w:rsidR="00C3771B">
        <w:rPr>
          <w:rFonts w:ascii="Arial" w:eastAsia="Times New Roman" w:hAnsi="Arial" w:cs="Arial"/>
          <w:lang w:eastAsia="ar-SA"/>
        </w:rPr>
        <w:t xml:space="preserve">las prevalencias de sobrepeso. </w:t>
      </w:r>
    </w:p>
    <w:p w14:paraId="2D7EE221" w14:textId="3B09E2F0" w:rsidR="00840886" w:rsidRPr="00C3771B" w:rsidRDefault="00840886" w:rsidP="00C3771B">
      <w:pPr>
        <w:pStyle w:val="Default"/>
        <w:spacing w:line="360" w:lineRule="auto"/>
        <w:jc w:val="both"/>
        <w:rPr>
          <w:rFonts w:ascii="Arial" w:eastAsia="Times New Roman" w:hAnsi="Arial" w:cs="Arial"/>
          <w:color w:val="auto"/>
          <w:lang w:eastAsia="ar-SA" w:bidi="ar-SA"/>
        </w:rPr>
      </w:pPr>
      <w:r w:rsidRPr="006A04CD">
        <w:rPr>
          <w:rFonts w:ascii="Arial" w:eastAsia="Times New Roman" w:hAnsi="Arial" w:cs="Arial"/>
          <w:color w:val="auto"/>
          <w:lang w:eastAsia="ar-SA" w:bidi="ar-SA"/>
        </w:rPr>
        <w:t xml:space="preserve">La detección oportuna de padecimientos crónicos asintomáticos, representa una oportunidad para modificar favorablemente la historia natural de la enfermedad. Con ello se pretende, instituir el tratamiento oportuno para evitar complicaciones que reducen la calidad de vida y evitar la muerte prematura. En PREVENIMSS, se realiza la detección oportuna de diabetes mellitus tipo 2, hipertensión arterial e hipercolesterolemia. </w:t>
      </w:r>
    </w:p>
    <w:p w14:paraId="143C95DC" w14:textId="61C0C31C" w:rsidR="00840886" w:rsidRPr="006A04CD" w:rsidRDefault="00840886" w:rsidP="00840886">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Las coberturas de detección logradas en estos rubros, no son satisfactorias, ya que no cumplen las metas programadas, por tal motivo a partir de 2015 se deberá fortalecer las estrategias de mejora pertinentes a nivel operativo, uno de los factores fundamentales del no cumplimiento de las metas, particularmente en diabetes mellitus, es el sub registro de detecciones de primera vez en el SIAIS, de ahí la necesidad de analizar detalladamente el comportamiento del sistema de información y en caso necesario hacer las modificaciones requeridas para la medici</w:t>
      </w:r>
      <w:r w:rsidR="00C3771B">
        <w:rPr>
          <w:rFonts w:ascii="Arial" w:eastAsia="Times New Roman" w:hAnsi="Arial" w:cs="Arial"/>
          <w:lang w:eastAsia="ar-SA"/>
        </w:rPr>
        <w:t>ón correcta de las coberturas.</w:t>
      </w:r>
    </w:p>
    <w:p w14:paraId="0C9B603A" w14:textId="36A00B7C" w:rsidR="00840886" w:rsidRPr="006A04CD" w:rsidRDefault="00840886" w:rsidP="00840886">
      <w:pPr>
        <w:autoSpaceDE w:val="0"/>
        <w:spacing w:line="360" w:lineRule="auto"/>
        <w:jc w:val="both"/>
        <w:rPr>
          <w:rFonts w:ascii="Arial" w:hAnsi="Arial" w:cs="Arial"/>
        </w:rPr>
      </w:pPr>
      <w:r w:rsidRPr="006A04CD">
        <w:rPr>
          <w:rFonts w:ascii="Arial" w:hAnsi="Arial" w:cs="Arial"/>
        </w:rPr>
        <w:t xml:space="preserve">La detección de cáncer </w:t>
      </w:r>
      <w:proofErr w:type="spellStart"/>
      <w:r w:rsidRPr="006A04CD">
        <w:rPr>
          <w:rFonts w:ascii="Arial" w:hAnsi="Arial" w:cs="Arial"/>
        </w:rPr>
        <w:t>cérvico</w:t>
      </w:r>
      <w:proofErr w:type="spellEnd"/>
      <w:r w:rsidRPr="006A04CD">
        <w:rPr>
          <w:rFonts w:ascii="Arial" w:hAnsi="Arial" w:cs="Arial"/>
        </w:rPr>
        <w:t xml:space="preserve"> uterino mediante la prueba de Papanicolaou, continúa siendo la estrategia principal en el tamizaje de este cáncer. Actualmente se está trabajando con 4 médicos </w:t>
      </w:r>
      <w:proofErr w:type="spellStart"/>
      <w:r w:rsidRPr="006A04CD">
        <w:rPr>
          <w:rFonts w:ascii="Arial" w:hAnsi="Arial" w:cs="Arial"/>
        </w:rPr>
        <w:t>colposcopistas</w:t>
      </w:r>
      <w:proofErr w:type="spellEnd"/>
      <w:r w:rsidRPr="006A04CD">
        <w:rPr>
          <w:rFonts w:ascii="Arial" w:hAnsi="Arial" w:cs="Arial"/>
        </w:rPr>
        <w:t xml:space="preserve"> en cada los hospitales de zona, sin embargo no se cuenta con los insumos e instrumental necesarios para concretar el círculo de detección y tratamiento oportunos. En 2016, se estima lograr una cobertura cifra mayor</w:t>
      </w:r>
      <w:r w:rsidR="00C3771B">
        <w:rPr>
          <w:rFonts w:ascii="Arial" w:hAnsi="Arial" w:cs="Arial"/>
        </w:rPr>
        <w:t xml:space="preserve"> a la meta establecida (30.0%).</w:t>
      </w:r>
    </w:p>
    <w:p w14:paraId="5C526CDF" w14:textId="7605C157" w:rsidR="00840886" w:rsidRPr="006A04CD" w:rsidRDefault="00840886" w:rsidP="00840886">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Respecto al cáncer de mama, en PREVENIMSS se dispone de diferentes medidas para su detección oportuna, de acuerdo a la edad de las mujeres, tal como la exploración clínica para las mujeres de 25 a 69 años, y la mastografía para mu</w:t>
      </w:r>
      <w:r w:rsidR="00C3771B">
        <w:rPr>
          <w:rFonts w:ascii="Arial" w:eastAsia="Times New Roman" w:hAnsi="Arial" w:cs="Arial"/>
          <w:lang w:eastAsia="ar-SA"/>
        </w:rPr>
        <w:t xml:space="preserve">jeres de 50 a 69 años de edad. </w:t>
      </w:r>
    </w:p>
    <w:p w14:paraId="61279A2D" w14:textId="77777777" w:rsidR="00840886" w:rsidRPr="006A04CD" w:rsidRDefault="00840886" w:rsidP="00840886">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La exploración clínica de mama, es una evaluación física realizada por un médico o enfermera capacitada, conlleva un doble beneficio, crea en las mujeres la cultura de prevención y al mismo tiempo le permite al personal que la realiza identificar anormalidades en una etapa temprana. La cobertura obtenida fue de 34.3%, ligeramente inferior a la registrada en el mismo periodo en el año 2014 (38.4%), sin embargo, ambas aún por debajo de la meta (70.0%), debido entre otros factores a las barreras culturales de la población.</w:t>
      </w:r>
    </w:p>
    <w:p w14:paraId="47529128" w14:textId="77777777" w:rsidR="00840886" w:rsidRPr="006A04CD" w:rsidRDefault="00840886" w:rsidP="00840886">
      <w:pPr>
        <w:autoSpaceDE w:val="0"/>
        <w:spacing w:line="360" w:lineRule="auto"/>
        <w:jc w:val="both"/>
        <w:rPr>
          <w:rFonts w:ascii="Arial" w:eastAsia="Times New Roman" w:hAnsi="Arial" w:cs="Arial"/>
          <w:lang w:eastAsia="ar-SA"/>
        </w:rPr>
      </w:pPr>
    </w:p>
    <w:p w14:paraId="5F0CF464" w14:textId="103467AD" w:rsidR="00840886" w:rsidRPr="006A04CD" w:rsidRDefault="00840886" w:rsidP="00840886">
      <w:pPr>
        <w:autoSpaceDE w:val="0"/>
        <w:spacing w:line="360" w:lineRule="auto"/>
        <w:jc w:val="both"/>
        <w:rPr>
          <w:rFonts w:ascii="Arial" w:hAnsi="Arial" w:cs="Arial"/>
        </w:rPr>
      </w:pPr>
      <w:r w:rsidRPr="006A04CD">
        <w:rPr>
          <w:rFonts w:ascii="Arial" w:hAnsi="Arial" w:cs="Arial"/>
        </w:rPr>
        <w:t>La cobertura de detección de cáncer de mama mediante mastografía, fue de 20.08%, con lo que se alcanzó a cubrir poco más el 100% de las mujeres programadas para detección en el grupo de 50 a 69 años de edad. De igual forma, en el grupo de 40 a 49 años de alcanzó una cobertura cercana al 10% cumpliendo c</w:t>
      </w:r>
      <w:r w:rsidR="00C3771B">
        <w:rPr>
          <w:rFonts w:ascii="Arial" w:hAnsi="Arial" w:cs="Arial"/>
        </w:rPr>
        <w:t>on ello con la meta programada.</w:t>
      </w:r>
    </w:p>
    <w:p w14:paraId="0F089166" w14:textId="77777777" w:rsidR="00840886" w:rsidRPr="006A04CD" w:rsidRDefault="00840886" w:rsidP="00840886">
      <w:pPr>
        <w:autoSpaceDE w:val="0"/>
        <w:spacing w:line="360" w:lineRule="auto"/>
        <w:jc w:val="both"/>
        <w:rPr>
          <w:rFonts w:ascii="Arial" w:eastAsia="Times New Roman" w:hAnsi="Arial" w:cs="Arial"/>
          <w:b/>
          <w:bCs/>
          <w:lang w:eastAsia="ar-SA"/>
        </w:rPr>
      </w:pPr>
      <w:r w:rsidRPr="006A04CD">
        <w:rPr>
          <w:rFonts w:ascii="Arial" w:eastAsia="Times New Roman" w:hAnsi="Arial" w:cs="Arial"/>
          <w:b/>
          <w:bCs/>
          <w:lang w:eastAsia="ar-SA"/>
        </w:rPr>
        <w:t xml:space="preserve">Programa de Salud del Hombre de 20 a 59 años </w:t>
      </w:r>
    </w:p>
    <w:p w14:paraId="6C0771BD" w14:textId="2472EB2A" w:rsidR="00840886" w:rsidRPr="006A04CD" w:rsidRDefault="00840886" w:rsidP="00C3771B">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 xml:space="preserve">Se beneficiaron 86,252 hombres con el paquete de acciones correspondientes a su grupo de edad, que se caracteriza por prevenir y detectar oportunamente las enfermedades crónico degenerativas además contender con el grave problema del sobrepeso y la obesidad, con un cobertura de 53.7%, lo que representa un incremento de 1.4% en comparación con la obtenida en 2014 (51.3%). El incremento observado en la cobertura puede atribuirse al fortalecimiento de la estrategia de PREVENIMSS en empresas. Entre 2009 y 2012 se han firmado 10 convenios de colaboración nacionales con empresas y sindicatos; 8 de los cuales se </w:t>
      </w:r>
      <w:r w:rsidR="00C3771B">
        <w:rPr>
          <w:rFonts w:ascii="Arial" w:eastAsia="Times New Roman" w:hAnsi="Arial" w:cs="Arial"/>
          <w:lang w:eastAsia="ar-SA"/>
        </w:rPr>
        <w:t xml:space="preserve">replican a nivel delegacional. </w:t>
      </w:r>
    </w:p>
    <w:p w14:paraId="390C2558" w14:textId="342EAF67" w:rsidR="00840886" w:rsidRPr="006A04CD" w:rsidRDefault="00840886" w:rsidP="00840886">
      <w:pPr>
        <w:spacing w:line="360" w:lineRule="auto"/>
        <w:jc w:val="both"/>
        <w:rPr>
          <w:rFonts w:ascii="Arial" w:eastAsia="Times New Roman" w:hAnsi="Arial" w:cs="Arial"/>
          <w:lang w:eastAsia="ar-SA"/>
        </w:rPr>
      </w:pPr>
      <w:r w:rsidRPr="006A04CD">
        <w:rPr>
          <w:rFonts w:ascii="Arial" w:eastAsia="Times New Roman" w:hAnsi="Arial" w:cs="Arial"/>
          <w:lang w:eastAsia="ar-SA"/>
        </w:rPr>
        <w:t>Durante al año 2015, se atendieron un total de 8,866 trabajadores, de los cuales 45% fueron mujeres y 55% fueron hombres. Del total de trabajadores atendidos en el 91.0% se les realizó la atención preventiva integrada en su lugar de trabajo, cifra ligeramente mayor a l</w:t>
      </w:r>
      <w:r w:rsidR="00C3771B">
        <w:rPr>
          <w:rFonts w:ascii="Arial" w:eastAsia="Times New Roman" w:hAnsi="Arial" w:cs="Arial"/>
          <w:lang w:eastAsia="ar-SA"/>
        </w:rPr>
        <w:t>a reportada en el 2014 (90.0%).</w:t>
      </w:r>
    </w:p>
    <w:p w14:paraId="220167A1" w14:textId="77777777" w:rsidR="00840886" w:rsidRPr="006A04CD" w:rsidRDefault="00840886" w:rsidP="00840886">
      <w:pPr>
        <w:spacing w:line="360" w:lineRule="auto"/>
        <w:jc w:val="both"/>
        <w:rPr>
          <w:rFonts w:ascii="Arial" w:hAnsi="Arial" w:cs="Arial"/>
        </w:rPr>
      </w:pPr>
      <w:r w:rsidRPr="006A04CD">
        <w:rPr>
          <w:rFonts w:ascii="Arial" w:hAnsi="Arial" w:cs="Arial"/>
        </w:rPr>
        <w:t>La identificación de enfermedades crónicas como la diabetes mellitus e hipertensión arterial en su etapa inicial cuando aún no existen complicaciones, es uno de los propósitos de la detección. Las coberturas durante 2015 fueron: 19.9% para diabetes mellitus y 55.2% para hipertensión arterial, cifras por debajo de la meta, por lo que también en este grupo deberán establecerse las estrategias de mejora señaladas en el Programa de Salud de la Mujer.</w:t>
      </w:r>
    </w:p>
    <w:p w14:paraId="2AF149FB" w14:textId="77777777" w:rsidR="00840886" w:rsidRPr="006A04CD" w:rsidRDefault="00840886" w:rsidP="00840886">
      <w:pPr>
        <w:spacing w:line="360" w:lineRule="auto"/>
        <w:jc w:val="both"/>
        <w:rPr>
          <w:rFonts w:ascii="Arial" w:hAnsi="Arial" w:cs="Arial"/>
        </w:rPr>
      </w:pPr>
    </w:p>
    <w:p w14:paraId="487325BC" w14:textId="52970B23" w:rsidR="00840886" w:rsidRPr="00C3771B" w:rsidRDefault="00840886" w:rsidP="00C3771B">
      <w:pPr>
        <w:spacing w:line="360" w:lineRule="auto"/>
        <w:jc w:val="both"/>
        <w:rPr>
          <w:rFonts w:ascii="Arial" w:hAnsi="Arial" w:cs="Arial"/>
        </w:rPr>
      </w:pPr>
      <w:r w:rsidRPr="006A04CD">
        <w:rPr>
          <w:rFonts w:ascii="Arial" w:hAnsi="Arial" w:cs="Arial"/>
        </w:rPr>
        <w:t>En relación con la tuberculosis pulmonar, cabe resaltar, que la detección en fase temprana de este padecimiento, proporciona un doble beneficio: evita su progresión a un estado más grave en el paciente afectado, y previene el contagio de otras personas. La cobertura alcanzada fue de 0.37%, inferior al valor de referencia de 3%.</w:t>
      </w:r>
    </w:p>
    <w:p w14:paraId="047B7C3C" w14:textId="77777777" w:rsidR="00840886" w:rsidRPr="006A04CD" w:rsidRDefault="00840886" w:rsidP="00840886">
      <w:pPr>
        <w:autoSpaceDE w:val="0"/>
        <w:spacing w:line="360" w:lineRule="auto"/>
        <w:jc w:val="both"/>
        <w:rPr>
          <w:rFonts w:ascii="Arial" w:eastAsia="Times New Roman" w:hAnsi="Arial" w:cs="Arial"/>
          <w:b/>
          <w:bCs/>
          <w:lang w:eastAsia="ar-SA"/>
        </w:rPr>
      </w:pPr>
      <w:r w:rsidRPr="006A04CD">
        <w:rPr>
          <w:rFonts w:ascii="Arial" w:eastAsia="Times New Roman" w:hAnsi="Arial" w:cs="Arial"/>
          <w:b/>
          <w:bCs/>
          <w:lang w:eastAsia="ar-SA"/>
        </w:rPr>
        <w:t xml:space="preserve">Programa de Salud del Adulto Mayor de 59 años </w:t>
      </w:r>
    </w:p>
    <w:p w14:paraId="1059C299" w14:textId="77777777" w:rsidR="00840886" w:rsidRPr="006A04CD" w:rsidRDefault="00840886" w:rsidP="00840886">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 xml:space="preserve">A 45,823 adultos mayores de 59 años se les brindó el paquete de acciones preventivas que por su grupo de edad y sexo les corresponde, con lo que se alcanzó una cobertura de Atención Preventiva Integrada de 59.65%, con un incremento de 57.0% con respecto a la reportada en 2008. </w:t>
      </w:r>
    </w:p>
    <w:p w14:paraId="5E8B0EEB" w14:textId="77777777" w:rsidR="00840886" w:rsidRPr="006A04CD" w:rsidRDefault="00840886" w:rsidP="00840886">
      <w:pPr>
        <w:autoSpaceDE w:val="0"/>
        <w:spacing w:line="360" w:lineRule="auto"/>
        <w:jc w:val="both"/>
        <w:rPr>
          <w:rFonts w:ascii="Arial" w:eastAsia="Times New Roman" w:hAnsi="Arial" w:cs="Arial"/>
          <w:lang w:eastAsia="ar-SA"/>
        </w:rPr>
      </w:pPr>
    </w:p>
    <w:p w14:paraId="17C83513" w14:textId="77777777" w:rsidR="00840886" w:rsidRPr="006A04CD" w:rsidRDefault="00840886" w:rsidP="00840886">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Los adultos mayores no están exentos de padecer el sobrepeso y la obesidad, por lo que la evaluación de la nutrición, continúa siendo en ellos una actividad sustancial en la Atención Preventiva Integrada. Las mediciones de peso y talla que son la base para la evaluación y recomendación nutricional, se ha realizado a 60,392 adultos mayores.</w:t>
      </w:r>
    </w:p>
    <w:p w14:paraId="76A8DC5C" w14:textId="77777777" w:rsidR="00840886" w:rsidRPr="006A04CD" w:rsidRDefault="00840886" w:rsidP="00840886">
      <w:pPr>
        <w:autoSpaceDE w:val="0"/>
        <w:spacing w:line="360" w:lineRule="auto"/>
        <w:jc w:val="both"/>
        <w:rPr>
          <w:rFonts w:ascii="Arial" w:eastAsia="Times New Roman" w:hAnsi="Arial" w:cs="Arial"/>
          <w:lang w:eastAsia="ar-SA"/>
        </w:rPr>
      </w:pPr>
    </w:p>
    <w:p w14:paraId="471ABA0B" w14:textId="77777777" w:rsidR="00840886" w:rsidRPr="006A04CD" w:rsidRDefault="00840886" w:rsidP="00840886">
      <w:pPr>
        <w:autoSpaceDE w:val="0"/>
        <w:spacing w:line="360" w:lineRule="auto"/>
        <w:jc w:val="both"/>
        <w:rPr>
          <w:rFonts w:ascii="Arial" w:eastAsia="Times New Roman" w:hAnsi="Arial" w:cs="Arial"/>
          <w:lang w:eastAsia="ar-SA"/>
        </w:rPr>
      </w:pPr>
      <w:r w:rsidRPr="006A04CD">
        <w:rPr>
          <w:rFonts w:ascii="Arial" w:eastAsia="Times New Roman" w:hAnsi="Arial" w:cs="Arial"/>
          <w:lang w:eastAsia="ar-SA"/>
        </w:rPr>
        <w:t xml:space="preserve">La cobertura de vacunación alcanzada es de 100% para vacuna </w:t>
      </w:r>
      <w:proofErr w:type="spellStart"/>
      <w:r w:rsidRPr="006A04CD">
        <w:rPr>
          <w:rFonts w:ascii="Arial" w:eastAsia="Times New Roman" w:hAnsi="Arial" w:cs="Arial"/>
          <w:lang w:eastAsia="ar-SA"/>
        </w:rPr>
        <w:t>antineumocóccica</w:t>
      </w:r>
      <w:proofErr w:type="spellEnd"/>
      <w:r w:rsidRPr="006A04CD">
        <w:rPr>
          <w:rFonts w:ascii="Arial" w:eastAsia="Times New Roman" w:hAnsi="Arial" w:cs="Arial"/>
          <w:lang w:eastAsia="ar-SA"/>
        </w:rPr>
        <w:t xml:space="preserve">, cifra superior a la meta establecida (95.0%). Respecto a la vacunación con anti-influenza en el periodo invernal octubre 2014 - marzo 2015, se alcanzó el 14.1% de la meta establecida. Además disminuir el riesgo de hospitalización por neumonías, estas vacunas disminuyen la frecuencia de complicaciones por infecciones invasivas causadas por neumococo y virus de la influenza. </w:t>
      </w:r>
    </w:p>
    <w:p w14:paraId="67602550" w14:textId="77777777" w:rsidR="00840886" w:rsidRPr="006A04CD" w:rsidRDefault="00840886" w:rsidP="00840886">
      <w:pPr>
        <w:autoSpaceDE w:val="0"/>
        <w:spacing w:line="360" w:lineRule="auto"/>
        <w:jc w:val="both"/>
        <w:rPr>
          <w:rFonts w:ascii="Arial" w:eastAsia="Times New Roman" w:hAnsi="Arial" w:cs="Arial"/>
          <w:lang w:eastAsia="ar-SA"/>
        </w:rPr>
      </w:pPr>
    </w:p>
    <w:p w14:paraId="6E846EC9" w14:textId="77777777" w:rsidR="00840886" w:rsidRDefault="00840886" w:rsidP="00840886">
      <w:pPr>
        <w:autoSpaceDE w:val="0"/>
        <w:spacing w:line="360" w:lineRule="auto"/>
        <w:jc w:val="both"/>
        <w:rPr>
          <w:rFonts w:ascii="Arial" w:hAnsi="Arial" w:cs="Arial"/>
        </w:rPr>
      </w:pPr>
      <w:r w:rsidRPr="006A04CD">
        <w:rPr>
          <w:rFonts w:ascii="Arial" w:eastAsia="Times New Roman" w:hAnsi="Arial" w:cs="Arial"/>
          <w:lang w:eastAsia="ar-SA"/>
        </w:rPr>
        <w:t>Los adultos mayores constituyen el grupo de población con mayor riesgo para desarrollar enfermedades crónicas como diabetes e hipertensión arterial, por ello, la importancia de realizar estas detecciones de manera sistemática como parte de su Atención Preventiva Integrada. Durante el año 2015 la cobertura alcanzada para diabetes mellitus fue de 21.1% y para hipertensión de 77.3%. La cobertura de detección de tuberculosis pulmonar fue de 0.42%.</w:t>
      </w:r>
      <w:r>
        <w:rPr>
          <w:rFonts w:ascii="Arial" w:eastAsia="Times New Roman" w:hAnsi="Arial" w:cs="Arial"/>
          <w:lang w:eastAsia="ar-SA"/>
        </w:rPr>
        <w:t xml:space="preserve"> Finalmente, c</w:t>
      </w:r>
      <w:r w:rsidRPr="006A04CD">
        <w:rPr>
          <w:rFonts w:ascii="Arial" w:hAnsi="Arial" w:cs="Arial"/>
        </w:rPr>
        <w:t>on la Estrategia Educativa Envejecimiento Activo se cumplió la meta esperada, proporcionado información a 932 derechohabientes de 60 años y más.</w:t>
      </w:r>
    </w:p>
    <w:p w14:paraId="72940F59" w14:textId="77777777" w:rsidR="00C3771B" w:rsidRDefault="00C3771B" w:rsidP="00840886">
      <w:pPr>
        <w:autoSpaceDE w:val="0"/>
        <w:spacing w:line="360" w:lineRule="auto"/>
        <w:jc w:val="both"/>
        <w:rPr>
          <w:rFonts w:ascii="Arial" w:hAnsi="Arial" w:cs="Arial"/>
        </w:rPr>
      </w:pPr>
    </w:p>
    <w:p w14:paraId="6913F5E6" w14:textId="77777777" w:rsidR="00C3771B" w:rsidRDefault="00C3771B" w:rsidP="00840886">
      <w:pPr>
        <w:autoSpaceDE w:val="0"/>
        <w:spacing w:line="360" w:lineRule="auto"/>
        <w:jc w:val="both"/>
        <w:rPr>
          <w:rFonts w:ascii="Arial" w:hAnsi="Arial" w:cs="Arial"/>
        </w:rPr>
      </w:pPr>
      <w:bookmarkStart w:id="0" w:name="_GoBack"/>
      <w:bookmarkEnd w:id="0"/>
    </w:p>
    <w:p w14:paraId="5C06275E" w14:textId="6839202B" w:rsidR="00C3771B" w:rsidRPr="005973D2" w:rsidRDefault="00C3771B" w:rsidP="00C3771B">
      <w:pPr>
        <w:rPr>
          <w:b/>
          <w:sz w:val="28"/>
          <w:szCs w:val="28"/>
        </w:rPr>
      </w:pPr>
      <w:r w:rsidRPr="005973D2">
        <w:rPr>
          <w:b/>
          <w:sz w:val="28"/>
          <w:szCs w:val="28"/>
        </w:rPr>
        <w:t>FODA</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342"/>
        <w:gridCol w:w="5938"/>
      </w:tblGrid>
      <w:tr w:rsidR="00C3771B" w:rsidRPr="00E252D4" w14:paraId="5C3F9D9A" w14:textId="77777777" w:rsidTr="00F43DA0">
        <w:trPr>
          <w:trHeight w:val="274"/>
        </w:trPr>
        <w:tc>
          <w:tcPr>
            <w:tcW w:w="9280" w:type="dxa"/>
            <w:gridSpan w:val="2"/>
            <w:tcBorders>
              <w:bottom w:val="single" w:sz="12" w:space="0" w:color="95B3D7"/>
            </w:tcBorders>
            <w:shd w:val="clear" w:color="auto" w:fill="auto"/>
          </w:tcPr>
          <w:p w14:paraId="732136C8" w14:textId="77777777" w:rsidR="00C3771B" w:rsidRPr="00E252D4" w:rsidRDefault="00C3771B" w:rsidP="00F43DA0">
            <w:pPr>
              <w:spacing w:after="0"/>
              <w:jc w:val="center"/>
              <w:rPr>
                <w:rFonts w:cs="Calibri"/>
                <w:b/>
                <w:bCs/>
                <w:color w:val="365F91"/>
              </w:rPr>
            </w:pPr>
            <w:r w:rsidRPr="00E252D4">
              <w:rPr>
                <w:rFonts w:cs="Calibri"/>
                <w:b/>
                <w:bCs/>
              </w:rPr>
              <w:t>ESTRATEGIAS FO</w:t>
            </w:r>
          </w:p>
        </w:tc>
      </w:tr>
      <w:tr w:rsidR="00C3771B" w:rsidRPr="00E252D4" w14:paraId="0FB5AA0A" w14:textId="77777777" w:rsidTr="00F43DA0">
        <w:trPr>
          <w:trHeight w:val="274"/>
        </w:trPr>
        <w:tc>
          <w:tcPr>
            <w:tcW w:w="3342" w:type="dxa"/>
            <w:shd w:val="clear" w:color="auto" w:fill="DBE5F1"/>
          </w:tcPr>
          <w:p w14:paraId="0F8DFC08" w14:textId="77777777" w:rsidR="00C3771B" w:rsidRPr="00E252D4" w:rsidRDefault="00C3771B" w:rsidP="00F43DA0">
            <w:pPr>
              <w:spacing w:after="0"/>
              <w:jc w:val="center"/>
              <w:rPr>
                <w:rFonts w:cs="Calibri"/>
                <w:bCs/>
              </w:rPr>
            </w:pPr>
            <w:r w:rsidRPr="00E252D4">
              <w:rPr>
                <w:rFonts w:cs="Calibri"/>
                <w:b/>
                <w:bCs/>
              </w:rPr>
              <w:t>Fortalezas</w:t>
            </w:r>
            <w:r w:rsidRPr="00E252D4">
              <w:rPr>
                <w:rFonts w:cs="Calibri"/>
                <w:bCs/>
              </w:rPr>
              <w:t xml:space="preserve"> </w:t>
            </w:r>
          </w:p>
        </w:tc>
        <w:tc>
          <w:tcPr>
            <w:tcW w:w="5938" w:type="dxa"/>
            <w:shd w:val="clear" w:color="auto" w:fill="DBE5F1"/>
          </w:tcPr>
          <w:p w14:paraId="550A85A3" w14:textId="77777777" w:rsidR="00C3771B" w:rsidRPr="00E252D4" w:rsidRDefault="00C3771B" w:rsidP="00F43DA0">
            <w:pPr>
              <w:spacing w:after="0"/>
              <w:jc w:val="center"/>
              <w:rPr>
                <w:rFonts w:cs="Calibri"/>
                <w:b/>
                <w:color w:val="365F91"/>
              </w:rPr>
            </w:pPr>
            <w:r w:rsidRPr="00E252D4">
              <w:rPr>
                <w:rFonts w:cs="Calibri"/>
                <w:b/>
              </w:rPr>
              <w:t>Oportunidades</w:t>
            </w:r>
            <w:r w:rsidRPr="00E252D4">
              <w:rPr>
                <w:rFonts w:cs="Calibri"/>
                <w:b/>
                <w:color w:val="365F91"/>
              </w:rPr>
              <w:t xml:space="preserve"> </w:t>
            </w:r>
          </w:p>
        </w:tc>
      </w:tr>
      <w:tr w:rsidR="00C3771B" w:rsidRPr="00E252D4" w14:paraId="6D80A4B5" w14:textId="77777777" w:rsidTr="00F43DA0">
        <w:tc>
          <w:tcPr>
            <w:tcW w:w="3342" w:type="dxa"/>
            <w:shd w:val="clear" w:color="auto" w:fill="auto"/>
            <w:vAlign w:val="center"/>
          </w:tcPr>
          <w:p w14:paraId="474903B8" w14:textId="77777777" w:rsidR="00C3771B" w:rsidRPr="00E252D4" w:rsidRDefault="00C3771B" w:rsidP="00C3771B">
            <w:pPr>
              <w:pStyle w:val="Prrafodelista"/>
              <w:numPr>
                <w:ilvl w:val="0"/>
                <w:numId w:val="9"/>
              </w:numPr>
              <w:spacing w:after="0"/>
              <w:ind w:left="313" w:hanging="313"/>
              <w:rPr>
                <w:rFonts w:cs="Calibri"/>
                <w:b/>
                <w:bCs/>
              </w:rPr>
            </w:pPr>
            <w:r>
              <w:rPr>
                <w:rFonts w:cs="Calibri"/>
                <w:b/>
                <w:bCs/>
              </w:rPr>
              <w:t>Presupuesto</w:t>
            </w:r>
          </w:p>
        </w:tc>
        <w:tc>
          <w:tcPr>
            <w:tcW w:w="5938" w:type="dxa"/>
            <w:shd w:val="clear" w:color="auto" w:fill="auto"/>
          </w:tcPr>
          <w:p w14:paraId="57208BA0" w14:textId="77777777" w:rsidR="00C3771B" w:rsidRPr="004B58E7" w:rsidRDefault="00C3771B" w:rsidP="00C3771B">
            <w:pPr>
              <w:pStyle w:val="Prrafodelista"/>
              <w:numPr>
                <w:ilvl w:val="0"/>
                <w:numId w:val="13"/>
              </w:numPr>
              <w:spacing w:after="0"/>
              <w:rPr>
                <w:rFonts w:cs="Calibri"/>
              </w:rPr>
            </w:pPr>
            <w:r w:rsidRPr="004B58E7">
              <w:rPr>
                <w:rFonts w:cs="Calibri"/>
              </w:rPr>
              <w:t>Establecimiento de programas anuales de operación en las áreas de mayor recurrencia.</w:t>
            </w:r>
          </w:p>
          <w:p w14:paraId="1699548A" w14:textId="77777777" w:rsidR="00C3771B" w:rsidRDefault="00C3771B" w:rsidP="00C3771B">
            <w:pPr>
              <w:pStyle w:val="Prrafodelista"/>
              <w:numPr>
                <w:ilvl w:val="0"/>
                <w:numId w:val="13"/>
              </w:numPr>
              <w:spacing w:after="0"/>
              <w:rPr>
                <w:rFonts w:cs="Calibri"/>
              </w:rPr>
            </w:pPr>
            <w:r>
              <w:rPr>
                <w:rFonts w:cs="Calibri"/>
              </w:rPr>
              <w:t>Eliminación de trámites y espera en la gestión de recursos.</w:t>
            </w:r>
          </w:p>
          <w:p w14:paraId="134CFCB1" w14:textId="77777777" w:rsidR="00C3771B" w:rsidRDefault="00C3771B" w:rsidP="00C3771B">
            <w:pPr>
              <w:pStyle w:val="Prrafodelista"/>
              <w:numPr>
                <w:ilvl w:val="0"/>
                <w:numId w:val="13"/>
              </w:numPr>
              <w:spacing w:after="0"/>
              <w:rPr>
                <w:rFonts w:cs="Calibri"/>
              </w:rPr>
            </w:pPr>
            <w:r>
              <w:rPr>
                <w:rFonts w:cs="Calibri"/>
              </w:rPr>
              <w:t>Transparencia en la utilización de recursos y fondeos.</w:t>
            </w:r>
          </w:p>
          <w:p w14:paraId="0B86BB84" w14:textId="77777777" w:rsidR="00C3771B" w:rsidRDefault="00C3771B" w:rsidP="00C3771B">
            <w:pPr>
              <w:pStyle w:val="Prrafodelista"/>
              <w:numPr>
                <w:ilvl w:val="0"/>
                <w:numId w:val="13"/>
              </w:numPr>
              <w:spacing w:after="0"/>
              <w:rPr>
                <w:rFonts w:cs="Calibri"/>
              </w:rPr>
            </w:pPr>
            <w:r>
              <w:rPr>
                <w:rFonts w:cs="Calibri"/>
              </w:rPr>
              <w:t>Administración correcta y distribución equilibrada a nivel delegacional.</w:t>
            </w:r>
          </w:p>
          <w:p w14:paraId="4AD466AF" w14:textId="77777777" w:rsidR="00C3771B" w:rsidRPr="004B58E7" w:rsidRDefault="00C3771B" w:rsidP="00C3771B">
            <w:pPr>
              <w:pStyle w:val="Prrafodelista"/>
              <w:numPr>
                <w:ilvl w:val="0"/>
                <w:numId w:val="13"/>
              </w:numPr>
              <w:spacing w:after="0"/>
              <w:rPr>
                <w:rFonts w:cs="Calibri"/>
              </w:rPr>
            </w:pPr>
            <w:r>
              <w:rPr>
                <w:rFonts w:cs="Calibri"/>
              </w:rPr>
              <w:t>Contención del gasto.</w:t>
            </w:r>
          </w:p>
          <w:p w14:paraId="51741619" w14:textId="77777777" w:rsidR="00C3771B" w:rsidRPr="00E252D4" w:rsidRDefault="00C3771B" w:rsidP="00F43DA0">
            <w:pPr>
              <w:spacing w:after="0"/>
              <w:ind w:left="284" w:hanging="284"/>
              <w:rPr>
                <w:rFonts w:cs="Calibri"/>
              </w:rPr>
            </w:pPr>
          </w:p>
        </w:tc>
      </w:tr>
      <w:tr w:rsidR="00C3771B" w:rsidRPr="00E252D4" w14:paraId="18A1BCDD" w14:textId="77777777" w:rsidTr="00F43DA0">
        <w:tc>
          <w:tcPr>
            <w:tcW w:w="3342" w:type="dxa"/>
            <w:shd w:val="clear" w:color="auto" w:fill="DBE5F1"/>
            <w:vAlign w:val="center"/>
          </w:tcPr>
          <w:p w14:paraId="7B3B959B" w14:textId="77777777" w:rsidR="00C3771B" w:rsidRPr="00E252D4" w:rsidRDefault="00C3771B" w:rsidP="00C3771B">
            <w:pPr>
              <w:pStyle w:val="Prrafodelista"/>
              <w:numPr>
                <w:ilvl w:val="0"/>
                <w:numId w:val="9"/>
              </w:numPr>
              <w:spacing w:after="0"/>
              <w:ind w:left="313" w:hanging="313"/>
              <w:rPr>
                <w:rFonts w:cs="Calibri"/>
                <w:b/>
                <w:bCs/>
              </w:rPr>
            </w:pPr>
            <w:r>
              <w:rPr>
                <w:rFonts w:cs="Calibri"/>
                <w:b/>
                <w:bCs/>
              </w:rPr>
              <w:t>Infraestructura médica</w:t>
            </w:r>
          </w:p>
        </w:tc>
        <w:tc>
          <w:tcPr>
            <w:tcW w:w="5938" w:type="dxa"/>
            <w:shd w:val="clear" w:color="auto" w:fill="DBE5F1"/>
          </w:tcPr>
          <w:p w14:paraId="37E76434" w14:textId="77777777" w:rsidR="00C3771B" w:rsidRPr="002D5D04" w:rsidRDefault="00C3771B" w:rsidP="00C3771B">
            <w:pPr>
              <w:pStyle w:val="Prrafodelista"/>
              <w:numPr>
                <w:ilvl w:val="0"/>
                <w:numId w:val="14"/>
              </w:numPr>
              <w:spacing w:after="0"/>
              <w:rPr>
                <w:rFonts w:cs="Calibri"/>
              </w:rPr>
            </w:pPr>
            <w:r w:rsidRPr="002D5D04">
              <w:rPr>
                <w:rFonts w:cs="Calibri"/>
              </w:rPr>
              <w:t>Aumento de consultas.</w:t>
            </w:r>
          </w:p>
          <w:p w14:paraId="42FBF356" w14:textId="77777777" w:rsidR="00C3771B" w:rsidRDefault="00C3771B" w:rsidP="00C3771B">
            <w:pPr>
              <w:pStyle w:val="Prrafodelista"/>
              <w:numPr>
                <w:ilvl w:val="0"/>
                <w:numId w:val="14"/>
              </w:numPr>
              <w:spacing w:after="0"/>
              <w:rPr>
                <w:rFonts w:cs="Calibri"/>
              </w:rPr>
            </w:pPr>
            <w:r>
              <w:rPr>
                <w:rFonts w:cs="Calibri"/>
              </w:rPr>
              <w:t>Aumento de cirugías y eficacia en su desarrollo.</w:t>
            </w:r>
          </w:p>
          <w:p w14:paraId="56B2F8EA" w14:textId="77777777" w:rsidR="00C3771B" w:rsidRDefault="00C3771B" w:rsidP="00C3771B">
            <w:pPr>
              <w:pStyle w:val="Prrafodelista"/>
              <w:numPr>
                <w:ilvl w:val="0"/>
                <w:numId w:val="14"/>
              </w:numPr>
              <w:spacing w:after="0"/>
              <w:rPr>
                <w:rFonts w:cs="Calibri"/>
              </w:rPr>
            </w:pPr>
            <w:r>
              <w:rPr>
                <w:rFonts w:cs="Calibri"/>
              </w:rPr>
              <w:t>Apertura de nuevas especialidades.</w:t>
            </w:r>
          </w:p>
          <w:p w14:paraId="2B041E92" w14:textId="77777777" w:rsidR="00C3771B" w:rsidRDefault="00C3771B" w:rsidP="00C3771B">
            <w:pPr>
              <w:pStyle w:val="Prrafodelista"/>
              <w:numPr>
                <w:ilvl w:val="0"/>
                <w:numId w:val="14"/>
              </w:numPr>
              <w:spacing w:after="0"/>
              <w:rPr>
                <w:rFonts w:cs="Calibri"/>
              </w:rPr>
            </w:pPr>
            <w:r>
              <w:rPr>
                <w:rFonts w:cs="Calibri"/>
              </w:rPr>
              <w:t>Centros educativos y de investigación que propicien resultados favorables.</w:t>
            </w:r>
          </w:p>
          <w:p w14:paraId="5815A0A7" w14:textId="77777777" w:rsidR="00C3771B" w:rsidRPr="002D5D04" w:rsidRDefault="00C3771B" w:rsidP="00C3771B">
            <w:pPr>
              <w:pStyle w:val="Prrafodelista"/>
              <w:numPr>
                <w:ilvl w:val="0"/>
                <w:numId w:val="14"/>
              </w:numPr>
              <w:spacing w:after="0"/>
              <w:rPr>
                <w:rFonts w:cs="Calibri"/>
              </w:rPr>
            </w:pPr>
            <w:r>
              <w:rPr>
                <w:rFonts w:cs="Calibri"/>
              </w:rPr>
              <w:t>Tecnología que favorezca atención médica.</w:t>
            </w:r>
          </w:p>
          <w:p w14:paraId="50C109CC" w14:textId="77777777" w:rsidR="00C3771B" w:rsidRPr="00E252D4" w:rsidRDefault="00C3771B" w:rsidP="00F43DA0">
            <w:pPr>
              <w:spacing w:after="0"/>
              <w:ind w:left="284" w:hanging="284"/>
              <w:rPr>
                <w:rFonts w:cs="Calibri"/>
              </w:rPr>
            </w:pPr>
          </w:p>
        </w:tc>
      </w:tr>
    </w:tbl>
    <w:p w14:paraId="0FD73764" w14:textId="77777777" w:rsidR="00C3771B" w:rsidRDefault="00C3771B" w:rsidP="00C3771B"/>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14"/>
        <w:gridCol w:w="6066"/>
      </w:tblGrid>
      <w:tr w:rsidR="00C3771B" w:rsidRPr="00E252D4" w14:paraId="6C425895" w14:textId="77777777" w:rsidTr="00F43DA0">
        <w:tc>
          <w:tcPr>
            <w:tcW w:w="9280" w:type="dxa"/>
            <w:gridSpan w:val="2"/>
            <w:tcBorders>
              <w:bottom w:val="single" w:sz="12" w:space="0" w:color="95B3D7"/>
            </w:tcBorders>
            <w:shd w:val="clear" w:color="auto" w:fill="auto"/>
          </w:tcPr>
          <w:p w14:paraId="4E74A748" w14:textId="77777777" w:rsidR="00C3771B" w:rsidRPr="00E252D4" w:rsidRDefault="00C3771B" w:rsidP="00F43DA0">
            <w:pPr>
              <w:spacing w:after="0"/>
              <w:ind w:left="284" w:hanging="284"/>
              <w:jc w:val="center"/>
              <w:rPr>
                <w:rFonts w:cs="Calibri"/>
                <w:b/>
                <w:bCs/>
                <w:color w:val="365F91"/>
              </w:rPr>
            </w:pPr>
            <w:r w:rsidRPr="00E252D4">
              <w:rPr>
                <w:rFonts w:cs="Calibri"/>
                <w:b/>
                <w:bCs/>
              </w:rPr>
              <w:t>ESTRATEGIAS DO</w:t>
            </w:r>
          </w:p>
        </w:tc>
      </w:tr>
      <w:tr w:rsidR="00C3771B" w:rsidRPr="00E252D4" w14:paraId="778AD846" w14:textId="77777777" w:rsidTr="00F43DA0">
        <w:tc>
          <w:tcPr>
            <w:tcW w:w="3214" w:type="dxa"/>
            <w:shd w:val="clear" w:color="auto" w:fill="DBE5F1"/>
          </w:tcPr>
          <w:p w14:paraId="484D4DC1" w14:textId="77777777" w:rsidR="00C3771B" w:rsidRPr="00E252D4" w:rsidRDefault="00C3771B" w:rsidP="00F43DA0">
            <w:pPr>
              <w:pStyle w:val="Prrafodelista"/>
              <w:spacing w:after="0"/>
              <w:ind w:left="313"/>
              <w:jc w:val="center"/>
              <w:rPr>
                <w:rFonts w:cs="Calibri"/>
                <w:b/>
                <w:bCs/>
              </w:rPr>
            </w:pPr>
            <w:r w:rsidRPr="00E252D4">
              <w:rPr>
                <w:rFonts w:cs="Calibri"/>
                <w:b/>
                <w:bCs/>
              </w:rPr>
              <w:t>Debilidades</w:t>
            </w:r>
          </w:p>
        </w:tc>
        <w:tc>
          <w:tcPr>
            <w:tcW w:w="6066" w:type="dxa"/>
            <w:shd w:val="clear" w:color="auto" w:fill="DBE5F1"/>
          </w:tcPr>
          <w:p w14:paraId="58ACC83E" w14:textId="77777777" w:rsidR="00C3771B" w:rsidRPr="00E252D4" w:rsidRDefault="00C3771B" w:rsidP="00F43DA0">
            <w:pPr>
              <w:spacing w:after="0"/>
              <w:ind w:left="284" w:hanging="284"/>
              <w:jc w:val="center"/>
              <w:rPr>
                <w:rFonts w:cs="Calibri"/>
                <w:b/>
              </w:rPr>
            </w:pPr>
            <w:r w:rsidRPr="00E252D4">
              <w:rPr>
                <w:rFonts w:cs="Calibri"/>
                <w:b/>
              </w:rPr>
              <w:t>Oportunidades</w:t>
            </w:r>
          </w:p>
        </w:tc>
      </w:tr>
      <w:tr w:rsidR="00C3771B" w:rsidRPr="00E252D4" w14:paraId="664CB7C1" w14:textId="77777777" w:rsidTr="00F43DA0">
        <w:tc>
          <w:tcPr>
            <w:tcW w:w="3214" w:type="dxa"/>
            <w:shd w:val="clear" w:color="auto" w:fill="auto"/>
            <w:vAlign w:val="center"/>
          </w:tcPr>
          <w:p w14:paraId="2497E8E5" w14:textId="77777777" w:rsidR="00C3771B" w:rsidRPr="00E252D4" w:rsidRDefault="00C3771B" w:rsidP="00C3771B">
            <w:pPr>
              <w:pStyle w:val="Prrafodelista"/>
              <w:numPr>
                <w:ilvl w:val="0"/>
                <w:numId w:val="10"/>
              </w:numPr>
              <w:spacing w:after="0"/>
              <w:ind w:left="313" w:hanging="284"/>
              <w:rPr>
                <w:rFonts w:cs="Calibri"/>
                <w:bCs/>
              </w:rPr>
            </w:pPr>
            <w:r w:rsidRPr="00E252D4">
              <w:rPr>
                <w:rFonts w:cs="Calibri"/>
                <w:bCs/>
              </w:rPr>
              <w:t xml:space="preserve">Falta de </w:t>
            </w:r>
            <w:r>
              <w:rPr>
                <w:rFonts w:cs="Calibri"/>
                <w:bCs/>
              </w:rPr>
              <w:t>capital humano</w:t>
            </w:r>
          </w:p>
        </w:tc>
        <w:tc>
          <w:tcPr>
            <w:tcW w:w="6066" w:type="dxa"/>
            <w:shd w:val="clear" w:color="auto" w:fill="auto"/>
          </w:tcPr>
          <w:p w14:paraId="72CE6F95" w14:textId="77777777" w:rsidR="00C3771B" w:rsidRPr="002D5D04" w:rsidRDefault="00C3771B" w:rsidP="00C3771B">
            <w:pPr>
              <w:pStyle w:val="Prrafodelista"/>
              <w:numPr>
                <w:ilvl w:val="0"/>
                <w:numId w:val="15"/>
              </w:numPr>
              <w:spacing w:after="0"/>
              <w:rPr>
                <w:rFonts w:cs="Calibri"/>
              </w:rPr>
            </w:pPr>
            <w:r w:rsidRPr="002D5D04">
              <w:rPr>
                <w:rFonts w:cs="Calibri"/>
              </w:rPr>
              <w:t>Abatir el rezago de consultas.</w:t>
            </w:r>
          </w:p>
          <w:p w14:paraId="749B9186" w14:textId="77777777" w:rsidR="00C3771B" w:rsidRDefault="00C3771B" w:rsidP="00C3771B">
            <w:pPr>
              <w:pStyle w:val="Prrafodelista"/>
              <w:numPr>
                <w:ilvl w:val="0"/>
                <w:numId w:val="15"/>
              </w:numPr>
              <w:spacing w:after="0"/>
              <w:rPr>
                <w:rFonts w:cs="Calibri"/>
              </w:rPr>
            </w:pPr>
            <w:r>
              <w:rPr>
                <w:rFonts w:cs="Calibri"/>
              </w:rPr>
              <w:t>Elevar la productividad y operatividad en un día típico.</w:t>
            </w:r>
          </w:p>
          <w:p w14:paraId="0F2ABF30" w14:textId="77777777" w:rsidR="00C3771B" w:rsidRDefault="00C3771B" w:rsidP="00C3771B">
            <w:pPr>
              <w:pStyle w:val="Prrafodelista"/>
              <w:numPr>
                <w:ilvl w:val="0"/>
                <w:numId w:val="15"/>
              </w:numPr>
              <w:spacing w:after="0"/>
              <w:rPr>
                <w:rFonts w:cs="Calibri"/>
              </w:rPr>
            </w:pPr>
            <w:r>
              <w:rPr>
                <w:rFonts w:cs="Calibri"/>
              </w:rPr>
              <w:t>Aumentar los índices de atención y equilibrarse con el crecimiento demográfico.</w:t>
            </w:r>
          </w:p>
          <w:p w14:paraId="75F55180" w14:textId="77777777" w:rsidR="00C3771B" w:rsidRPr="002D5D04" w:rsidRDefault="00C3771B" w:rsidP="00C3771B">
            <w:pPr>
              <w:pStyle w:val="Prrafodelista"/>
              <w:numPr>
                <w:ilvl w:val="0"/>
                <w:numId w:val="15"/>
              </w:numPr>
              <w:spacing w:after="0"/>
              <w:rPr>
                <w:rFonts w:cs="Calibri"/>
              </w:rPr>
            </w:pPr>
            <w:r>
              <w:rPr>
                <w:rFonts w:cs="Calibri"/>
              </w:rPr>
              <w:t>Aumentar índice de empleo.</w:t>
            </w:r>
          </w:p>
          <w:p w14:paraId="5F449D20" w14:textId="77777777" w:rsidR="00C3771B" w:rsidRPr="00E252D4" w:rsidRDefault="00C3771B" w:rsidP="00F43DA0">
            <w:pPr>
              <w:spacing w:after="0"/>
              <w:ind w:left="284" w:hanging="284"/>
              <w:rPr>
                <w:rFonts w:cs="Calibri"/>
              </w:rPr>
            </w:pPr>
          </w:p>
        </w:tc>
      </w:tr>
    </w:tbl>
    <w:p w14:paraId="28324CDE" w14:textId="77777777" w:rsidR="00C3771B" w:rsidRDefault="00C3771B" w:rsidP="00C3771B"/>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310"/>
        <w:gridCol w:w="5970"/>
      </w:tblGrid>
      <w:tr w:rsidR="00C3771B" w:rsidRPr="00E252D4" w14:paraId="37057511" w14:textId="77777777" w:rsidTr="00F43DA0">
        <w:tc>
          <w:tcPr>
            <w:tcW w:w="9280" w:type="dxa"/>
            <w:gridSpan w:val="2"/>
            <w:tcBorders>
              <w:bottom w:val="single" w:sz="12" w:space="0" w:color="95B3D7"/>
            </w:tcBorders>
            <w:shd w:val="clear" w:color="auto" w:fill="auto"/>
          </w:tcPr>
          <w:p w14:paraId="2CBBADC0" w14:textId="77777777" w:rsidR="00C3771B" w:rsidRPr="00E252D4" w:rsidRDefault="00C3771B" w:rsidP="00F43DA0">
            <w:pPr>
              <w:spacing w:after="0"/>
              <w:jc w:val="center"/>
              <w:rPr>
                <w:rFonts w:cs="Calibri"/>
                <w:b/>
                <w:bCs/>
                <w:color w:val="365F91"/>
              </w:rPr>
            </w:pPr>
            <w:r w:rsidRPr="00E252D4">
              <w:rPr>
                <w:rFonts w:cs="Calibri"/>
                <w:b/>
                <w:bCs/>
              </w:rPr>
              <w:t>ESTRATEGIAS</w:t>
            </w:r>
            <w:r w:rsidRPr="00E252D4">
              <w:rPr>
                <w:rFonts w:cs="Calibri"/>
                <w:b/>
                <w:bCs/>
                <w:color w:val="365F91"/>
              </w:rPr>
              <w:t xml:space="preserve"> </w:t>
            </w:r>
            <w:r w:rsidRPr="00E252D4">
              <w:rPr>
                <w:rFonts w:cs="Calibri"/>
                <w:b/>
                <w:bCs/>
              </w:rPr>
              <w:t>FA</w:t>
            </w:r>
          </w:p>
        </w:tc>
      </w:tr>
      <w:tr w:rsidR="00C3771B" w:rsidRPr="00E252D4" w14:paraId="0CF0D506" w14:textId="77777777" w:rsidTr="00F43DA0">
        <w:tc>
          <w:tcPr>
            <w:tcW w:w="3310" w:type="dxa"/>
            <w:shd w:val="clear" w:color="auto" w:fill="DBE5F1"/>
          </w:tcPr>
          <w:p w14:paraId="6768F09B" w14:textId="77777777" w:rsidR="00C3771B" w:rsidRPr="00E252D4" w:rsidRDefault="00C3771B" w:rsidP="00F43DA0">
            <w:pPr>
              <w:spacing w:after="0"/>
              <w:jc w:val="center"/>
              <w:rPr>
                <w:rFonts w:cs="Calibri"/>
                <w:b/>
                <w:bCs/>
              </w:rPr>
            </w:pPr>
            <w:r w:rsidRPr="00E252D4">
              <w:rPr>
                <w:rFonts w:cs="Calibri"/>
                <w:b/>
                <w:bCs/>
              </w:rPr>
              <w:t>Fortalezas</w:t>
            </w:r>
          </w:p>
        </w:tc>
        <w:tc>
          <w:tcPr>
            <w:tcW w:w="5970" w:type="dxa"/>
            <w:shd w:val="clear" w:color="auto" w:fill="DBE5F1"/>
          </w:tcPr>
          <w:p w14:paraId="3FE34592" w14:textId="77777777" w:rsidR="00C3771B" w:rsidRPr="00E252D4" w:rsidRDefault="00C3771B" w:rsidP="00F43DA0">
            <w:pPr>
              <w:spacing w:after="0"/>
              <w:jc w:val="center"/>
              <w:rPr>
                <w:rFonts w:cs="Calibri"/>
                <w:color w:val="365F91"/>
              </w:rPr>
            </w:pPr>
            <w:r w:rsidRPr="00E252D4">
              <w:rPr>
                <w:rFonts w:cs="Calibri"/>
              </w:rPr>
              <w:t>Amenazas</w:t>
            </w:r>
            <w:r w:rsidRPr="00E252D4">
              <w:rPr>
                <w:rFonts w:cs="Calibri"/>
                <w:color w:val="365F91"/>
              </w:rPr>
              <w:t xml:space="preserve"> </w:t>
            </w:r>
          </w:p>
        </w:tc>
      </w:tr>
      <w:tr w:rsidR="00C3771B" w:rsidRPr="00E252D4" w14:paraId="79FF5869" w14:textId="77777777" w:rsidTr="00F43DA0">
        <w:tc>
          <w:tcPr>
            <w:tcW w:w="3310" w:type="dxa"/>
            <w:shd w:val="clear" w:color="auto" w:fill="auto"/>
          </w:tcPr>
          <w:p w14:paraId="0E28F8A3" w14:textId="77777777" w:rsidR="00C3771B" w:rsidRPr="00E252D4" w:rsidRDefault="00C3771B" w:rsidP="00C3771B">
            <w:pPr>
              <w:pStyle w:val="Prrafodelista"/>
              <w:numPr>
                <w:ilvl w:val="0"/>
                <w:numId w:val="11"/>
              </w:numPr>
              <w:spacing w:after="0"/>
              <w:ind w:left="313" w:hanging="284"/>
              <w:rPr>
                <w:rFonts w:cs="Calibri"/>
                <w:b/>
                <w:bCs/>
              </w:rPr>
            </w:pPr>
            <w:r>
              <w:rPr>
                <w:rFonts w:cs="Calibri"/>
                <w:b/>
                <w:bCs/>
              </w:rPr>
              <w:t>Presupuesto</w:t>
            </w:r>
          </w:p>
        </w:tc>
        <w:tc>
          <w:tcPr>
            <w:tcW w:w="5970" w:type="dxa"/>
            <w:shd w:val="clear" w:color="auto" w:fill="auto"/>
          </w:tcPr>
          <w:p w14:paraId="54D73432" w14:textId="77777777" w:rsidR="00C3771B" w:rsidRPr="002D5D04" w:rsidRDefault="00C3771B" w:rsidP="00C3771B">
            <w:pPr>
              <w:pStyle w:val="Prrafodelista"/>
              <w:numPr>
                <w:ilvl w:val="0"/>
                <w:numId w:val="16"/>
              </w:numPr>
              <w:spacing w:after="0"/>
              <w:rPr>
                <w:rFonts w:cs="Calibri"/>
              </w:rPr>
            </w:pPr>
            <w:r w:rsidRPr="002D5D04">
              <w:rPr>
                <w:rFonts w:cs="Calibri"/>
              </w:rPr>
              <w:t>Corrupción.</w:t>
            </w:r>
          </w:p>
          <w:p w14:paraId="5EFA37BB" w14:textId="77777777" w:rsidR="00C3771B" w:rsidRDefault="00C3771B" w:rsidP="00C3771B">
            <w:pPr>
              <w:pStyle w:val="Prrafodelista"/>
              <w:numPr>
                <w:ilvl w:val="0"/>
                <w:numId w:val="16"/>
              </w:numPr>
              <w:spacing w:after="0"/>
              <w:rPr>
                <w:rFonts w:cs="Calibri"/>
              </w:rPr>
            </w:pPr>
            <w:r>
              <w:rPr>
                <w:rFonts w:cs="Calibri"/>
              </w:rPr>
              <w:t>Desequilibrio en mala distribución.</w:t>
            </w:r>
          </w:p>
          <w:p w14:paraId="4038EB68" w14:textId="77777777" w:rsidR="00C3771B" w:rsidRDefault="00C3771B" w:rsidP="00C3771B">
            <w:pPr>
              <w:pStyle w:val="Prrafodelista"/>
              <w:numPr>
                <w:ilvl w:val="0"/>
                <w:numId w:val="16"/>
              </w:numPr>
              <w:spacing w:after="0"/>
              <w:rPr>
                <w:rFonts w:cs="Calibri"/>
              </w:rPr>
            </w:pPr>
            <w:r>
              <w:rPr>
                <w:rFonts w:cs="Calibri"/>
              </w:rPr>
              <w:t xml:space="preserve">Tardanza en liberación de presupuestos para proyectos de inversión favorables al Instituto. </w:t>
            </w:r>
          </w:p>
          <w:p w14:paraId="62ABD2E4" w14:textId="77777777" w:rsidR="00C3771B" w:rsidRDefault="00C3771B" w:rsidP="00C3771B">
            <w:pPr>
              <w:pStyle w:val="Prrafodelista"/>
              <w:numPr>
                <w:ilvl w:val="0"/>
                <w:numId w:val="16"/>
              </w:numPr>
              <w:spacing w:after="0"/>
              <w:rPr>
                <w:rFonts w:cs="Calibri"/>
              </w:rPr>
            </w:pPr>
            <w:r>
              <w:rPr>
                <w:rFonts w:cs="Calibri"/>
              </w:rPr>
              <w:t>Fuga de capital.</w:t>
            </w:r>
          </w:p>
          <w:p w14:paraId="74C6540F" w14:textId="77777777" w:rsidR="00C3771B" w:rsidRPr="002D5D04" w:rsidRDefault="00C3771B" w:rsidP="00C3771B">
            <w:pPr>
              <w:pStyle w:val="Prrafodelista"/>
              <w:numPr>
                <w:ilvl w:val="0"/>
                <w:numId w:val="16"/>
              </w:numPr>
              <w:spacing w:after="0"/>
              <w:rPr>
                <w:rFonts w:cs="Calibri"/>
              </w:rPr>
            </w:pPr>
            <w:r>
              <w:rPr>
                <w:rFonts w:cs="Calibri"/>
              </w:rPr>
              <w:t>Daño patrimonial por falta de uso en diversas áreas.</w:t>
            </w:r>
          </w:p>
          <w:p w14:paraId="7793BE7A" w14:textId="77777777" w:rsidR="00C3771B" w:rsidRPr="00E252D4" w:rsidRDefault="00C3771B" w:rsidP="00F43DA0">
            <w:pPr>
              <w:spacing w:after="0"/>
              <w:ind w:left="284" w:hanging="284"/>
              <w:rPr>
                <w:rFonts w:cs="Calibri"/>
              </w:rPr>
            </w:pPr>
          </w:p>
        </w:tc>
      </w:tr>
      <w:tr w:rsidR="00C3771B" w:rsidRPr="00E252D4" w14:paraId="6E7D2116" w14:textId="77777777" w:rsidTr="00F43DA0">
        <w:tc>
          <w:tcPr>
            <w:tcW w:w="3310" w:type="dxa"/>
            <w:shd w:val="clear" w:color="auto" w:fill="DBE5F1"/>
          </w:tcPr>
          <w:p w14:paraId="53EFAB5B" w14:textId="77777777" w:rsidR="00C3771B" w:rsidRPr="00E252D4" w:rsidRDefault="00C3771B" w:rsidP="00C3771B">
            <w:pPr>
              <w:pStyle w:val="Prrafodelista"/>
              <w:numPr>
                <w:ilvl w:val="0"/>
                <w:numId w:val="11"/>
              </w:numPr>
              <w:spacing w:after="0"/>
              <w:ind w:left="313" w:hanging="284"/>
              <w:rPr>
                <w:rFonts w:cs="Calibri"/>
                <w:b/>
                <w:bCs/>
              </w:rPr>
            </w:pPr>
            <w:r>
              <w:rPr>
                <w:rFonts w:cs="Calibri"/>
                <w:b/>
                <w:bCs/>
              </w:rPr>
              <w:t>Infraestructura médica</w:t>
            </w:r>
          </w:p>
        </w:tc>
        <w:tc>
          <w:tcPr>
            <w:tcW w:w="5970" w:type="dxa"/>
            <w:shd w:val="clear" w:color="auto" w:fill="DBE5F1"/>
          </w:tcPr>
          <w:p w14:paraId="2C8D9B99" w14:textId="77777777" w:rsidR="00C3771B" w:rsidRPr="002D5D04" w:rsidRDefault="00C3771B" w:rsidP="00C3771B">
            <w:pPr>
              <w:pStyle w:val="Prrafodelista"/>
              <w:numPr>
                <w:ilvl w:val="0"/>
                <w:numId w:val="17"/>
              </w:numPr>
              <w:spacing w:after="0"/>
              <w:rPr>
                <w:rFonts w:cs="Calibri"/>
              </w:rPr>
            </w:pPr>
            <w:r w:rsidRPr="002D5D04">
              <w:rPr>
                <w:rFonts w:cs="Calibri"/>
              </w:rPr>
              <w:t>Presupuesto deficiente.</w:t>
            </w:r>
          </w:p>
          <w:p w14:paraId="4F9718BE" w14:textId="77777777" w:rsidR="00C3771B" w:rsidRDefault="00C3771B" w:rsidP="00C3771B">
            <w:pPr>
              <w:pStyle w:val="Prrafodelista"/>
              <w:numPr>
                <w:ilvl w:val="0"/>
                <w:numId w:val="17"/>
              </w:numPr>
              <w:spacing w:after="0"/>
              <w:rPr>
                <w:rFonts w:cs="Calibri"/>
              </w:rPr>
            </w:pPr>
            <w:r>
              <w:rPr>
                <w:rFonts w:cs="Calibri"/>
              </w:rPr>
              <w:t>Falta de calidad y calidez en la atención al área usuaria.</w:t>
            </w:r>
          </w:p>
          <w:p w14:paraId="729D1AE5" w14:textId="77777777" w:rsidR="00C3771B" w:rsidRDefault="00C3771B" w:rsidP="00C3771B">
            <w:pPr>
              <w:pStyle w:val="Prrafodelista"/>
              <w:numPr>
                <w:ilvl w:val="0"/>
                <w:numId w:val="17"/>
              </w:numPr>
              <w:spacing w:after="0"/>
              <w:rPr>
                <w:rFonts w:cs="Calibri"/>
              </w:rPr>
            </w:pPr>
            <w:r>
              <w:rPr>
                <w:rFonts w:cs="Calibri"/>
              </w:rPr>
              <w:t>Prolongar tiempos de espera al derechohabiente.</w:t>
            </w:r>
          </w:p>
          <w:p w14:paraId="101DB649" w14:textId="77777777" w:rsidR="00C3771B" w:rsidRDefault="00C3771B" w:rsidP="00C3771B">
            <w:pPr>
              <w:pStyle w:val="Prrafodelista"/>
              <w:numPr>
                <w:ilvl w:val="0"/>
                <w:numId w:val="17"/>
              </w:numPr>
              <w:spacing w:after="0"/>
              <w:rPr>
                <w:rFonts w:cs="Calibri"/>
              </w:rPr>
            </w:pPr>
            <w:r>
              <w:rPr>
                <w:rFonts w:cs="Calibri"/>
              </w:rPr>
              <w:t>Exponer en peligro al derechohabiente por falta de infraestructura.</w:t>
            </w:r>
          </w:p>
          <w:p w14:paraId="5EE6C1FE" w14:textId="77777777" w:rsidR="00C3771B" w:rsidRPr="002D5D04" w:rsidRDefault="00C3771B" w:rsidP="00C3771B">
            <w:pPr>
              <w:pStyle w:val="Prrafodelista"/>
              <w:numPr>
                <w:ilvl w:val="0"/>
                <w:numId w:val="17"/>
              </w:numPr>
              <w:spacing w:after="0"/>
              <w:rPr>
                <w:rFonts w:cs="Calibri"/>
              </w:rPr>
            </w:pPr>
            <w:r>
              <w:rPr>
                <w:rFonts w:cs="Calibri"/>
              </w:rPr>
              <w:t>Falta de capacidad para albergar nuevas especialidades.</w:t>
            </w:r>
          </w:p>
          <w:p w14:paraId="55AD254F" w14:textId="77777777" w:rsidR="00C3771B" w:rsidRPr="00E252D4" w:rsidRDefault="00C3771B" w:rsidP="00F43DA0">
            <w:pPr>
              <w:spacing w:after="0"/>
              <w:ind w:left="284" w:hanging="284"/>
              <w:rPr>
                <w:rFonts w:cs="Calibri"/>
              </w:rPr>
            </w:pPr>
          </w:p>
        </w:tc>
      </w:tr>
    </w:tbl>
    <w:p w14:paraId="516B3D94" w14:textId="77777777" w:rsidR="00C3771B" w:rsidRDefault="00C3771B" w:rsidP="00C3771B"/>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955"/>
        <w:gridCol w:w="6325"/>
      </w:tblGrid>
      <w:tr w:rsidR="00C3771B" w:rsidRPr="00E252D4" w14:paraId="49C6D214" w14:textId="77777777" w:rsidTr="00F43DA0">
        <w:tc>
          <w:tcPr>
            <w:tcW w:w="13149" w:type="dxa"/>
            <w:gridSpan w:val="2"/>
            <w:tcBorders>
              <w:bottom w:val="single" w:sz="12" w:space="0" w:color="95B3D7"/>
            </w:tcBorders>
            <w:shd w:val="clear" w:color="auto" w:fill="auto"/>
          </w:tcPr>
          <w:p w14:paraId="1A2648E2" w14:textId="77777777" w:rsidR="00C3771B" w:rsidRPr="00E252D4" w:rsidRDefault="00C3771B" w:rsidP="00F43DA0">
            <w:pPr>
              <w:spacing w:after="0"/>
              <w:jc w:val="center"/>
              <w:rPr>
                <w:rFonts w:cs="Calibri"/>
                <w:b/>
                <w:bCs/>
                <w:color w:val="365F91"/>
              </w:rPr>
            </w:pPr>
            <w:r w:rsidRPr="00E252D4">
              <w:rPr>
                <w:rFonts w:cs="Calibri"/>
                <w:b/>
                <w:bCs/>
              </w:rPr>
              <w:t>ESTRATEGIAS</w:t>
            </w:r>
            <w:r w:rsidRPr="00E252D4">
              <w:rPr>
                <w:rFonts w:cs="Calibri"/>
                <w:b/>
                <w:bCs/>
                <w:color w:val="365F91"/>
              </w:rPr>
              <w:t xml:space="preserve"> </w:t>
            </w:r>
            <w:r w:rsidRPr="00E252D4">
              <w:rPr>
                <w:rFonts w:cs="Calibri"/>
                <w:b/>
                <w:bCs/>
              </w:rPr>
              <w:t>DA</w:t>
            </w:r>
          </w:p>
        </w:tc>
      </w:tr>
      <w:tr w:rsidR="00C3771B" w:rsidRPr="00E252D4" w14:paraId="2380EDCC" w14:textId="77777777" w:rsidTr="00F43DA0">
        <w:tc>
          <w:tcPr>
            <w:tcW w:w="4077" w:type="dxa"/>
            <w:shd w:val="clear" w:color="auto" w:fill="DBE5F1"/>
          </w:tcPr>
          <w:p w14:paraId="6B762A25" w14:textId="77777777" w:rsidR="00C3771B" w:rsidRPr="00E252D4" w:rsidRDefault="00C3771B" w:rsidP="00F43DA0">
            <w:pPr>
              <w:spacing w:after="0"/>
              <w:jc w:val="center"/>
              <w:rPr>
                <w:rFonts w:cs="Calibri"/>
                <w:b/>
                <w:bCs/>
              </w:rPr>
            </w:pPr>
            <w:r w:rsidRPr="00E252D4">
              <w:rPr>
                <w:rFonts w:cs="Calibri"/>
                <w:b/>
                <w:bCs/>
              </w:rPr>
              <w:t xml:space="preserve">Debilidades </w:t>
            </w:r>
          </w:p>
        </w:tc>
        <w:tc>
          <w:tcPr>
            <w:tcW w:w="9072" w:type="dxa"/>
            <w:shd w:val="clear" w:color="auto" w:fill="DBE5F1"/>
          </w:tcPr>
          <w:p w14:paraId="2F3BC853" w14:textId="77777777" w:rsidR="00C3771B" w:rsidRPr="00E252D4" w:rsidRDefault="00C3771B" w:rsidP="00F43DA0">
            <w:pPr>
              <w:spacing w:after="0"/>
              <w:jc w:val="center"/>
              <w:rPr>
                <w:rFonts w:cs="Calibri"/>
                <w:color w:val="365F91"/>
              </w:rPr>
            </w:pPr>
            <w:r w:rsidRPr="00E252D4">
              <w:rPr>
                <w:rFonts w:cs="Calibri"/>
                <w:b/>
              </w:rPr>
              <w:t>Amenazas</w:t>
            </w:r>
            <w:r w:rsidRPr="00E252D4">
              <w:rPr>
                <w:rFonts w:cs="Calibri"/>
                <w:color w:val="365F91"/>
              </w:rPr>
              <w:t xml:space="preserve"> </w:t>
            </w:r>
          </w:p>
        </w:tc>
      </w:tr>
      <w:tr w:rsidR="00C3771B" w:rsidRPr="00E252D4" w14:paraId="1D4D007E" w14:textId="77777777" w:rsidTr="00F43DA0">
        <w:tc>
          <w:tcPr>
            <w:tcW w:w="4077" w:type="dxa"/>
            <w:shd w:val="clear" w:color="auto" w:fill="auto"/>
            <w:vAlign w:val="center"/>
          </w:tcPr>
          <w:p w14:paraId="242F7631" w14:textId="77777777" w:rsidR="00C3771B" w:rsidRPr="00E252D4" w:rsidRDefault="00C3771B" w:rsidP="00C3771B">
            <w:pPr>
              <w:pStyle w:val="Prrafodelista"/>
              <w:numPr>
                <w:ilvl w:val="0"/>
                <w:numId w:val="12"/>
              </w:numPr>
              <w:spacing w:after="0"/>
              <w:ind w:left="313" w:hanging="284"/>
              <w:rPr>
                <w:rFonts w:cs="Calibri"/>
                <w:bCs/>
              </w:rPr>
            </w:pPr>
            <w:r>
              <w:rPr>
                <w:rFonts w:cs="Calibri"/>
                <w:bCs/>
              </w:rPr>
              <w:t>Falta de capital humano</w:t>
            </w:r>
          </w:p>
        </w:tc>
        <w:tc>
          <w:tcPr>
            <w:tcW w:w="9072" w:type="dxa"/>
            <w:shd w:val="clear" w:color="auto" w:fill="auto"/>
          </w:tcPr>
          <w:p w14:paraId="4BD5E96D" w14:textId="77777777" w:rsidR="00C3771B" w:rsidRPr="002D5D04" w:rsidRDefault="00C3771B" w:rsidP="00C3771B">
            <w:pPr>
              <w:pStyle w:val="Prrafodelista"/>
              <w:numPr>
                <w:ilvl w:val="0"/>
                <w:numId w:val="18"/>
              </w:numPr>
              <w:spacing w:after="0"/>
              <w:rPr>
                <w:rFonts w:cs="Calibri"/>
              </w:rPr>
            </w:pPr>
            <w:r w:rsidRPr="002D5D04">
              <w:rPr>
                <w:rFonts w:cs="Calibri"/>
              </w:rPr>
              <w:t>Indicadores en rojo para cumplimiento de calidad.</w:t>
            </w:r>
          </w:p>
          <w:p w14:paraId="6868DA34" w14:textId="77777777" w:rsidR="00C3771B" w:rsidRDefault="00C3771B" w:rsidP="00C3771B">
            <w:pPr>
              <w:pStyle w:val="Prrafodelista"/>
              <w:numPr>
                <w:ilvl w:val="0"/>
                <w:numId w:val="18"/>
              </w:numPr>
              <w:spacing w:after="0"/>
              <w:rPr>
                <w:rFonts w:cs="Calibri"/>
              </w:rPr>
            </w:pPr>
            <w:r>
              <w:rPr>
                <w:rFonts w:cs="Calibri"/>
              </w:rPr>
              <w:t>Inoportunidad en atención adecuada y pronta.</w:t>
            </w:r>
          </w:p>
          <w:p w14:paraId="1987F467" w14:textId="77777777" w:rsidR="00C3771B" w:rsidRDefault="00C3771B" w:rsidP="00C3771B">
            <w:pPr>
              <w:pStyle w:val="Prrafodelista"/>
              <w:numPr>
                <w:ilvl w:val="0"/>
                <w:numId w:val="18"/>
              </w:numPr>
              <w:spacing w:after="0"/>
              <w:rPr>
                <w:rFonts w:cs="Calibri"/>
              </w:rPr>
            </w:pPr>
            <w:r>
              <w:rPr>
                <w:rFonts w:cs="Calibri"/>
              </w:rPr>
              <w:t>Obstrucción en la operatividad diaria.</w:t>
            </w:r>
          </w:p>
          <w:p w14:paraId="0FB7E265" w14:textId="77777777" w:rsidR="00C3771B" w:rsidRDefault="00C3771B" w:rsidP="00C3771B">
            <w:pPr>
              <w:pStyle w:val="Prrafodelista"/>
              <w:numPr>
                <w:ilvl w:val="0"/>
                <w:numId w:val="18"/>
              </w:numPr>
              <w:spacing w:after="0"/>
              <w:rPr>
                <w:rFonts w:cs="Calibri"/>
              </w:rPr>
            </w:pPr>
            <w:r>
              <w:rPr>
                <w:rFonts w:cs="Calibri"/>
              </w:rPr>
              <w:t>Rezago de cirugías y diferimiento.</w:t>
            </w:r>
          </w:p>
          <w:p w14:paraId="1C750167" w14:textId="77777777" w:rsidR="00C3771B" w:rsidRPr="002D5D04" w:rsidRDefault="00C3771B" w:rsidP="00C3771B">
            <w:pPr>
              <w:pStyle w:val="Prrafodelista"/>
              <w:numPr>
                <w:ilvl w:val="0"/>
                <w:numId w:val="18"/>
              </w:numPr>
              <w:spacing w:after="0"/>
              <w:rPr>
                <w:rFonts w:cs="Calibri"/>
              </w:rPr>
            </w:pPr>
            <w:r>
              <w:rPr>
                <w:rFonts w:cs="Calibri"/>
              </w:rPr>
              <w:t>Ausentismo.</w:t>
            </w:r>
          </w:p>
          <w:p w14:paraId="4FC3958C" w14:textId="77777777" w:rsidR="00C3771B" w:rsidRPr="00E252D4" w:rsidRDefault="00C3771B" w:rsidP="00F43DA0">
            <w:pPr>
              <w:spacing w:after="0"/>
              <w:ind w:left="284" w:hanging="284"/>
              <w:rPr>
                <w:rFonts w:cs="Calibri"/>
              </w:rPr>
            </w:pPr>
          </w:p>
        </w:tc>
      </w:tr>
      <w:tr w:rsidR="00C3771B" w:rsidRPr="00E252D4" w14:paraId="173C94E3" w14:textId="77777777" w:rsidTr="00F43DA0">
        <w:tc>
          <w:tcPr>
            <w:tcW w:w="4077" w:type="dxa"/>
            <w:shd w:val="clear" w:color="auto" w:fill="DBE5F1"/>
            <w:vAlign w:val="center"/>
          </w:tcPr>
          <w:p w14:paraId="2E189314" w14:textId="77777777" w:rsidR="00C3771B" w:rsidRPr="00E252D4" w:rsidRDefault="00C3771B" w:rsidP="00C3771B">
            <w:pPr>
              <w:pStyle w:val="Prrafodelista"/>
              <w:numPr>
                <w:ilvl w:val="0"/>
                <w:numId w:val="12"/>
              </w:numPr>
              <w:spacing w:after="0"/>
              <w:ind w:left="313" w:hanging="284"/>
              <w:rPr>
                <w:rFonts w:cs="Calibri"/>
                <w:bCs/>
              </w:rPr>
            </w:pPr>
            <w:r>
              <w:rPr>
                <w:rFonts w:cs="Calibri"/>
                <w:bCs/>
              </w:rPr>
              <w:t>Carencia en atención médica</w:t>
            </w:r>
          </w:p>
        </w:tc>
        <w:tc>
          <w:tcPr>
            <w:tcW w:w="9072" w:type="dxa"/>
            <w:shd w:val="clear" w:color="auto" w:fill="DBE5F1"/>
          </w:tcPr>
          <w:p w14:paraId="7FCF2DAB" w14:textId="77777777" w:rsidR="00C3771B" w:rsidRPr="002D5D04" w:rsidRDefault="00C3771B" w:rsidP="00C3771B">
            <w:pPr>
              <w:pStyle w:val="Prrafodelista"/>
              <w:numPr>
                <w:ilvl w:val="0"/>
                <w:numId w:val="19"/>
              </w:numPr>
              <w:spacing w:after="0"/>
              <w:rPr>
                <w:rFonts w:cs="Calibri"/>
              </w:rPr>
            </w:pPr>
            <w:r w:rsidRPr="002D5D04">
              <w:rPr>
                <w:rFonts w:cs="Calibri"/>
              </w:rPr>
              <w:t>Exposición de peligro al derechohabiente.</w:t>
            </w:r>
          </w:p>
          <w:p w14:paraId="4A17FD4B" w14:textId="77777777" w:rsidR="00C3771B" w:rsidRDefault="00C3771B" w:rsidP="00C3771B">
            <w:pPr>
              <w:pStyle w:val="Prrafodelista"/>
              <w:numPr>
                <w:ilvl w:val="0"/>
                <w:numId w:val="19"/>
              </w:numPr>
              <w:spacing w:after="0"/>
              <w:rPr>
                <w:rFonts w:cs="Calibri"/>
              </w:rPr>
            </w:pPr>
            <w:r>
              <w:rPr>
                <w:rFonts w:cs="Calibri"/>
              </w:rPr>
              <w:t xml:space="preserve">Sobredemanda de la </w:t>
            </w:r>
            <w:proofErr w:type="spellStart"/>
            <w:r>
              <w:rPr>
                <w:rFonts w:cs="Calibri"/>
              </w:rPr>
              <w:t>derechohabiencia</w:t>
            </w:r>
            <w:proofErr w:type="spellEnd"/>
            <w:r>
              <w:rPr>
                <w:rFonts w:cs="Calibri"/>
              </w:rPr>
              <w:t>.</w:t>
            </w:r>
          </w:p>
          <w:p w14:paraId="155D0FF9" w14:textId="77777777" w:rsidR="00C3771B" w:rsidRDefault="00C3771B" w:rsidP="00C3771B">
            <w:pPr>
              <w:pStyle w:val="Prrafodelista"/>
              <w:numPr>
                <w:ilvl w:val="0"/>
                <w:numId w:val="19"/>
              </w:numPr>
              <w:spacing w:after="0"/>
              <w:rPr>
                <w:rFonts w:cs="Calibri"/>
              </w:rPr>
            </w:pPr>
            <w:r>
              <w:rPr>
                <w:rFonts w:cs="Calibri"/>
              </w:rPr>
              <w:t>Falta de calidad en la atención.</w:t>
            </w:r>
          </w:p>
          <w:p w14:paraId="2E3A8240" w14:textId="77777777" w:rsidR="00C3771B" w:rsidRDefault="00C3771B" w:rsidP="00C3771B">
            <w:pPr>
              <w:pStyle w:val="Prrafodelista"/>
              <w:numPr>
                <w:ilvl w:val="0"/>
                <w:numId w:val="19"/>
              </w:numPr>
              <w:spacing w:after="0"/>
              <w:rPr>
                <w:rFonts w:cs="Calibri"/>
              </w:rPr>
            </w:pPr>
            <w:r>
              <w:rPr>
                <w:rFonts w:cs="Calibri"/>
              </w:rPr>
              <w:t>Provoca un ambiente de trabajo poco favorable y con baja productividad debido a la excesiva carga de trabajo delegada a unos pocos.</w:t>
            </w:r>
          </w:p>
          <w:p w14:paraId="15A38CF9" w14:textId="77777777" w:rsidR="00C3771B" w:rsidRPr="002D5D04" w:rsidRDefault="00C3771B" w:rsidP="00C3771B">
            <w:pPr>
              <w:pStyle w:val="Prrafodelista"/>
              <w:numPr>
                <w:ilvl w:val="0"/>
                <w:numId w:val="19"/>
              </w:numPr>
              <w:spacing w:after="0"/>
              <w:rPr>
                <w:rFonts w:cs="Calibri"/>
              </w:rPr>
            </w:pPr>
            <w:r>
              <w:rPr>
                <w:rFonts w:cs="Calibri"/>
              </w:rPr>
              <w:t>Descontento en la población general, dando como resultado incongruencia con la Misión del Instituto.</w:t>
            </w:r>
          </w:p>
          <w:p w14:paraId="3E63D704" w14:textId="77777777" w:rsidR="00C3771B" w:rsidRPr="00E252D4" w:rsidRDefault="00C3771B" w:rsidP="00F43DA0">
            <w:pPr>
              <w:spacing w:after="0"/>
              <w:ind w:left="284" w:hanging="284"/>
              <w:rPr>
                <w:rFonts w:cs="Calibri"/>
              </w:rPr>
            </w:pPr>
          </w:p>
        </w:tc>
      </w:tr>
    </w:tbl>
    <w:p w14:paraId="0A28998A" w14:textId="77777777" w:rsidR="00C3771B" w:rsidRDefault="00C3771B" w:rsidP="00C3771B"/>
    <w:p w14:paraId="3DCF7D49" w14:textId="77777777" w:rsidR="00C3771B" w:rsidRPr="006A04CD" w:rsidRDefault="00C3771B" w:rsidP="00840886">
      <w:pPr>
        <w:autoSpaceDE w:val="0"/>
        <w:spacing w:line="360" w:lineRule="auto"/>
        <w:jc w:val="both"/>
        <w:rPr>
          <w:rFonts w:ascii="Arial" w:eastAsia="Times New Roman" w:hAnsi="Arial" w:cs="Arial"/>
          <w:lang w:eastAsia="ar-SA"/>
        </w:rPr>
      </w:pPr>
    </w:p>
    <w:p w14:paraId="0E739C71" w14:textId="77777777" w:rsidR="00840886" w:rsidRPr="00232BC0" w:rsidRDefault="00840886" w:rsidP="00A202C0">
      <w:pPr>
        <w:spacing w:line="360" w:lineRule="auto"/>
        <w:jc w:val="both"/>
        <w:rPr>
          <w:rFonts w:ascii="Arial" w:eastAsia="Times New Roman" w:hAnsi="Arial" w:cs="Times New Roman"/>
          <w:lang w:val="es-ES"/>
        </w:rPr>
      </w:pPr>
    </w:p>
    <w:p w14:paraId="0DE8DB0B" w14:textId="3161A389" w:rsidR="00D735F0" w:rsidRPr="00232BC0" w:rsidRDefault="00D735F0" w:rsidP="00D735F0">
      <w:pPr>
        <w:shd w:val="clear" w:color="auto" w:fill="FFFFFF"/>
        <w:spacing w:after="0" w:line="360" w:lineRule="auto"/>
        <w:jc w:val="both"/>
        <w:rPr>
          <w:rFonts w:ascii="Arial" w:hAnsi="Arial" w:cs="Times New Roman"/>
          <w:color w:val="000000"/>
          <w:lang w:val="es-MX" w:eastAsia="es-ES"/>
        </w:rPr>
      </w:pPr>
    </w:p>
    <w:sectPr w:rsidR="00D735F0" w:rsidRPr="00232BC0" w:rsidSect="00A202C0">
      <w:pgSz w:w="11900" w:h="16840"/>
      <w:pgMar w:top="1417" w:right="1418" w:bottom="1417" w:left="141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26AFA" w14:textId="77777777" w:rsidR="00840886" w:rsidRDefault="00840886" w:rsidP="002825B6">
      <w:pPr>
        <w:spacing w:after="0"/>
      </w:pPr>
      <w:r>
        <w:separator/>
      </w:r>
    </w:p>
  </w:endnote>
  <w:endnote w:type="continuationSeparator" w:id="0">
    <w:p w14:paraId="4351DCAC" w14:textId="77777777" w:rsidR="00840886" w:rsidRDefault="00840886" w:rsidP="00282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DB39C" w14:textId="77777777" w:rsidR="00840886" w:rsidRDefault="00840886" w:rsidP="002825B6">
      <w:pPr>
        <w:spacing w:after="0"/>
      </w:pPr>
      <w:r>
        <w:separator/>
      </w:r>
    </w:p>
  </w:footnote>
  <w:footnote w:type="continuationSeparator" w:id="0">
    <w:p w14:paraId="66152B6F" w14:textId="77777777" w:rsidR="00840886" w:rsidRDefault="00840886" w:rsidP="002825B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nsid w:val="0000000A"/>
    <w:multiLevelType w:val="singleLevel"/>
    <w:tmpl w:val="0000000A"/>
    <w:name w:val="WW8Num13"/>
    <w:lvl w:ilvl="0">
      <w:start w:val="1"/>
      <w:numFmt w:val="bullet"/>
      <w:lvlText w:val=""/>
      <w:lvlJc w:val="left"/>
      <w:pPr>
        <w:tabs>
          <w:tab w:val="num" w:pos="0"/>
        </w:tabs>
        <w:ind w:left="720" w:hanging="360"/>
      </w:pPr>
      <w:rPr>
        <w:rFonts w:ascii="Symbol" w:hAnsi="Symbol"/>
      </w:rPr>
    </w:lvl>
  </w:abstractNum>
  <w:abstractNum w:abstractNumId="2">
    <w:nsid w:val="063A05D6"/>
    <w:multiLevelType w:val="hybridMultilevel"/>
    <w:tmpl w:val="FBB623A8"/>
    <w:lvl w:ilvl="0" w:tplc="6FD013F0">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8E440B1"/>
    <w:multiLevelType w:val="hybridMultilevel"/>
    <w:tmpl w:val="5D60A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5">
    <w:nsid w:val="0B823AD2"/>
    <w:multiLevelType w:val="hybridMultilevel"/>
    <w:tmpl w:val="D172C3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1C1CD6"/>
    <w:multiLevelType w:val="hybridMultilevel"/>
    <w:tmpl w:val="E1BEE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5553FC"/>
    <w:multiLevelType w:val="hybridMultilevel"/>
    <w:tmpl w:val="01D81C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3C03B58"/>
    <w:multiLevelType w:val="hybridMultilevel"/>
    <w:tmpl w:val="D172C366"/>
    <w:lvl w:ilvl="0" w:tplc="080A000F">
      <w:start w:val="1"/>
      <w:numFmt w:val="decimal"/>
      <w:lvlText w:val="%1."/>
      <w:lvlJc w:val="left"/>
      <w:pPr>
        <w:ind w:left="928"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19400C1"/>
    <w:multiLevelType w:val="hybridMultilevel"/>
    <w:tmpl w:val="0F1C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2587888"/>
    <w:multiLevelType w:val="hybridMultilevel"/>
    <w:tmpl w:val="45A2C8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38919FB"/>
    <w:multiLevelType w:val="hybridMultilevel"/>
    <w:tmpl w:val="B9BE5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BEC6B6F"/>
    <w:multiLevelType w:val="hybridMultilevel"/>
    <w:tmpl w:val="49B8A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8E68E6"/>
    <w:multiLevelType w:val="hybridMultilevel"/>
    <w:tmpl w:val="3370C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0537B08"/>
    <w:multiLevelType w:val="hybridMultilevel"/>
    <w:tmpl w:val="12081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5107D9"/>
    <w:multiLevelType w:val="hybridMultilevel"/>
    <w:tmpl w:val="2D78C962"/>
    <w:lvl w:ilvl="0" w:tplc="9E268D02">
      <w:numFmt w:val="bullet"/>
      <w:lvlText w:val="-"/>
      <w:lvlJc w:val="left"/>
      <w:pPr>
        <w:ind w:left="720" w:hanging="360"/>
      </w:pPr>
      <w:rPr>
        <w:rFonts w:ascii="Arial" w:eastAsia="Times New Roman"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444758"/>
    <w:multiLevelType w:val="multilevel"/>
    <w:tmpl w:val="729C42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4"/>
  </w:num>
  <w:num w:numId="3">
    <w:abstractNumId w:val="12"/>
  </w:num>
  <w:num w:numId="4">
    <w:abstractNumId w:val="17"/>
  </w:num>
  <w:num w:numId="5">
    <w:abstractNumId w:val="7"/>
  </w:num>
  <w:num w:numId="6">
    <w:abstractNumId w:val="18"/>
  </w:num>
  <w:num w:numId="7">
    <w:abstractNumId w:val="0"/>
  </w:num>
  <w:num w:numId="8">
    <w:abstractNumId w:val="1"/>
  </w:num>
  <w:num w:numId="9">
    <w:abstractNumId w:val="9"/>
  </w:num>
  <w:num w:numId="10">
    <w:abstractNumId w:val="2"/>
  </w:num>
  <w:num w:numId="11">
    <w:abstractNumId w:val="8"/>
  </w:num>
  <w:num w:numId="12">
    <w:abstractNumId w:val="5"/>
  </w:num>
  <w:num w:numId="13">
    <w:abstractNumId w:val="3"/>
  </w:num>
  <w:num w:numId="14">
    <w:abstractNumId w:val="11"/>
  </w:num>
  <w:num w:numId="15">
    <w:abstractNumId w:val="13"/>
  </w:num>
  <w:num w:numId="16">
    <w:abstractNumId w:val="16"/>
  </w:num>
  <w:num w:numId="17">
    <w:abstractNumId w:val="6"/>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1FD4"/>
    <w:rsid w:val="00037852"/>
    <w:rsid w:val="0005012D"/>
    <w:rsid w:val="000F7048"/>
    <w:rsid w:val="0012711C"/>
    <w:rsid w:val="001A0647"/>
    <w:rsid w:val="00232BC0"/>
    <w:rsid w:val="002501FE"/>
    <w:rsid w:val="002621DC"/>
    <w:rsid w:val="002825B6"/>
    <w:rsid w:val="002B46EF"/>
    <w:rsid w:val="00300A4D"/>
    <w:rsid w:val="00420726"/>
    <w:rsid w:val="00496455"/>
    <w:rsid w:val="004F6B2A"/>
    <w:rsid w:val="005443F8"/>
    <w:rsid w:val="005620CC"/>
    <w:rsid w:val="005F073C"/>
    <w:rsid w:val="006F0DEF"/>
    <w:rsid w:val="007D4045"/>
    <w:rsid w:val="007F05EB"/>
    <w:rsid w:val="007F2AF2"/>
    <w:rsid w:val="00840886"/>
    <w:rsid w:val="00920E91"/>
    <w:rsid w:val="00A14726"/>
    <w:rsid w:val="00A202C0"/>
    <w:rsid w:val="00A40B6F"/>
    <w:rsid w:val="00AC7D78"/>
    <w:rsid w:val="00B32DD5"/>
    <w:rsid w:val="00B72692"/>
    <w:rsid w:val="00C04515"/>
    <w:rsid w:val="00C3771B"/>
    <w:rsid w:val="00CB61CF"/>
    <w:rsid w:val="00D61953"/>
    <w:rsid w:val="00D735F0"/>
    <w:rsid w:val="00DF2691"/>
    <w:rsid w:val="00E13C16"/>
    <w:rsid w:val="00E43B91"/>
    <w:rsid w:val="00E7301A"/>
    <w:rsid w:val="00ED620B"/>
    <w:rsid w:val="00EE266F"/>
    <w:rsid w:val="00EE27CD"/>
    <w:rsid w:val="00F011B0"/>
    <w:rsid w:val="00F446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 w:type="paragraph" w:customStyle="1" w:styleId="Default">
    <w:name w:val="Default"/>
    <w:basedOn w:val="Normal"/>
    <w:rsid w:val="00840886"/>
    <w:pPr>
      <w:widowControl w:val="0"/>
      <w:suppressAutoHyphens/>
      <w:autoSpaceDE w:val="0"/>
      <w:spacing w:after="0"/>
    </w:pPr>
    <w:rPr>
      <w:rFonts w:ascii="Symbol" w:eastAsia="Symbol" w:hAnsi="Symbol" w:cs="Symbol"/>
      <w:color w:val="000000"/>
      <w:kern w:val="1"/>
      <w:lang w:val="es-MX"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 w:type="paragraph" w:customStyle="1" w:styleId="Default">
    <w:name w:val="Default"/>
    <w:basedOn w:val="Normal"/>
    <w:rsid w:val="00840886"/>
    <w:pPr>
      <w:widowControl w:val="0"/>
      <w:suppressAutoHyphens/>
      <w:autoSpaceDE w:val="0"/>
      <w:spacing w:after="0"/>
    </w:pPr>
    <w:rPr>
      <w:rFonts w:ascii="Symbol" w:eastAsia="Symbol" w:hAnsi="Symbol" w:cs="Symbol"/>
      <w:color w:val="000000"/>
      <w:kern w:val="1"/>
      <w:lang w:val="es-MX"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582833300">
      <w:bodyDiv w:val="1"/>
      <w:marLeft w:val="0"/>
      <w:marRight w:val="0"/>
      <w:marTop w:val="0"/>
      <w:marBottom w:val="0"/>
      <w:divBdr>
        <w:top w:val="none" w:sz="0" w:space="0" w:color="auto"/>
        <w:left w:val="none" w:sz="0" w:space="0" w:color="auto"/>
        <w:bottom w:val="none" w:sz="0" w:space="0" w:color="auto"/>
        <w:right w:val="none" w:sz="0" w:space="0" w:color="auto"/>
      </w:divBdr>
    </w:div>
    <w:div w:id="650603486">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546868769">
      <w:bodyDiv w:val="1"/>
      <w:marLeft w:val="0"/>
      <w:marRight w:val="0"/>
      <w:marTop w:val="0"/>
      <w:marBottom w:val="0"/>
      <w:divBdr>
        <w:top w:val="none" w:sz="0" w:space="0" w:color="auto"/>
        <w:left w:val="none" w:sz="0" w:space="0" w:color="auto"/>
        <w:bottom w:val="none" w:sz="0" w:space="0" w:color="auto"/>
        <w:right w:val="none" w:sz="0" w:space="0" w:color="auto"/>
      </w:divBdr>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1721395514">
      <w:bodyDiv w:val="1"/>
      <w:marLeft w:val="0"/>
      <w:marRight w:val="0"/>
      <w:marTop w:val="0"/>
      <w:marBottom w:val="0"/>
      <w:divBdr>
        <w:top w:val="none" w:sz="0" w:space="0" w:color="auto"/>
        <w:left w:val="none" w:sz="0" w:space="0" w:color="auto"/>
        <w:bottom w:val="none" w:sz="0" w:space="0" w:color="auto"/>
        <w:right w:val="none" w:sz="0" w:space="0" w:color="auto"/>
      </w:divBdr>
    </w:div>
    <w:div w:id="1920673892">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3052</Words>
  <Characters>16786</Characters>
  <Application>Microsoft Macintosh Word</Application>
  <DocSecurity>0</DocSecurity>
  <Lines>139</Lines>
  <Paragraphs>39</Paragraphs>
  <ScaleCrop>false</ScaleCrop>
  <Company/>
  <LinksUpToDate>false</LinksUpToDate>
  <CharactersWithSpaces>19799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2016-01-21T05:04:00Z</dcterms:created>
  <dcterms:modified xsi:type="dcterms:W3CDTF">2016-01-21T05:04:00Z</dcterms:modified>
</cp:coreProperties>
</file>