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Default="00300A4D" w:rsidP="00300A4D">
      <w:pPr>
        <w:rPr>
          <w:rFonts w:ascii="Arial" w:hAnsi="Arial" w:cs="Arial"/>
          <w:b/>
          <w:spacing w:val="20"/>
          <w:lang w:val="es-AR"/>
        </w:rPr>
      </w:pPr>
    </w:p>
    <w:p w14:paraId="12C527F2" w14:textId="77777777" w:rsidR="00496455" w:rsidRPr="00300A4D" w:rsidRDefault="00496455"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2677B771" w:rsidR="00300A4D" w:rsidRPr="00300A4D" w:rsidRDefault="00A9159E" w:rsidP="00300A4D">
      <w:pPr>
        <w:jc w:val="center"/>
        <w:rPr>
          <w:rFonts w:ascii="Arial" w:hAnsi="Arial" w:cs="Arial"/>
          <w:b/>
          <w:spacing w:val="20"/>
          <w:sz w:val="32"/>
          <w:szCs w:val="32"/>
          <w:lang w:val="es-AR"/>
        </w:rPr>
      </w:pPr>
      <w:r>
        <w:rPr>
          <w:rFonts w:ascii="Arial" w:hAnsi="Arial" w:cs="Arial"/>
          <w:b/>
          <w:spacing w:val="20"/>
          <w:sz w:val="32"/>
          <w:szCs w:val="32"/>
          <w:lang w:val="es-AR"/>
        </w:rPr>
        <w:t>ACTIVIDAD 5</w:t>
      </w:r>
      <w:r w:rsidR="00300A4D">
        <w:rPr>
          <w:rFonts w:ascii="Arial" w:hAnsi="Arial" w:cs="Arial"/>
          <w:b/>
          <w:spacing w:val="20"/>
          <w:sz w:val="32"/>
          <w:szCs w:val="32"/>
          <w:lang w:val="es-AR"/>
        </w:rPr>
        <w:t xml:space="preserve">: </w:t>
      </w:r>
      <w:r>
        <w:rPr>
          <w:rFonts w:ascii="Arial" w:hAnsi="Arial" w:cs="Arial"/>
          <w:b/>
          <w:spacing w:val="20"/>
          <w:sz w:val="32"/>
          <w:szCs w:val="32"/>
          <w:lang w:val="es-AR"/>
        </w:rPr>
        <w:t>CUADRO SINOPTICO</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0C909605" w14:textId="7C74F68F" w:rsidR="00496455" w:rsidRDefault="00300A4D" w:rsidP="00E13C16">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E13C16">
        <w:rPr>
          <w:rFonts w:ascii="Arial" w:hAnsi="Arial" w:cs="Arial"/>
          <w:b/>
          <w:spacing w:val="20"/>
          <w:sz w:val="32"/>
          <w:u w:val="single"/>
          <w:lang w:val="es-AR"/>
        </w:rPr>
        <w:t>DESARROLLO ORGANIZACIONAL</w:t>
      </w:r>
    </w:p>
    <w:p w14:paraId="749ACE21" w14:textId="77777777" w:rsidR="00232BC0" w:rsidRDefault="00232BC0" w:rsidP="00E13C16">
      <w:pPr>
        <w:jc w:val="center"/>
        <w:rPr>
          <w:rFonts w:ascii="Arial" w:hAnsi="Arial" w:cs="Arial"/>
          <w:b/>
          <w:spacing w:val="20"/>
          <w:sz w:val="32"/>
          <w:u w:val="single"/>
          <w:lang w:val="es-AR"/>
        </w:rPr>
      </w:pPr>
    </w:p>
    <w:p w14:paraId="71E2CE2F" w14:textId="77777777" w:rsidR="00232BC0" w:rsidRPr="00300A4D" w:rsidRDefault="00232BC0" w:rsidP="00E13C16">
      <w:pPr>
        <w:jc w:val="center"/>
        <w:rPr>
          <w:rFonts w:ascii="Arial" w:hAnsi="Arial" w:cs="Arial"/>
          <w:b/>
          <w:spacing w:val="20"/>
          <w:sz w:val="32"/>
          <w:u w:val="single"/>
          <w:lang w:val="es-AR"/>
        </w:rPr>
      </w:pP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35A34372" w14:textId="77777777" w:rsidR="00300A4D" w:rsidRDefault="00300A4D" w:rsidP="00496455">
      <w:pPr>
        <w:pStyle w:val="Sinespaciado"/>
        <w:rPr>
          <w:rFonts w:ascii="Arial" w:eastAsia="Times New Roman" w:hAnsi="Arial" w:cs="Arial"/>
          <w:sz w:val="32"/>
          <w:szCs w:val="32"/>
        </w:rPr>
      </w:pPr>
    </w:p>
    <w:p w14:paraId="626B0CC6" w14:textId="54292624" w:rsidR="00A9159E" w:rsidRPr="00A9159E" w:rsidRDefault="00A9159E" w:rsidP="00A9159E">
      <w:pPr>
        <w:shd w:val="clear" w:color="auto" w:fill="FFFFFF"/>
        <w:spacing w:after="0" w:line="300" w:lineRule="atLeast"/>
        <w:rPr>
          <w:rFonts w:ascii="Arial" w:hAnsi="Arial" w:cs="Arial"/>
          <w:color w:val="222222"/>
          <w:sz w:val="18"/>
          <w:szCs w:val="18"/>
          <w:lang w:val="es-MX" w:eastAsia="es-ES"/>
        </w:rPr>
      </w:pPr>
    </w:p>
    <w:p w14:paraId="7CF39782" w14:textId="77777777" w:rsidR="002825B6" w:rsidRDefault="002825B6" w:rsidP="002825B6">
      <w:pPr>
        <w:shd w:val="clear" w:color="auto" w:fill="FFFFFF"/>
        <w:spacing w:after="0" w:line="276" w:lineRule="auto"/>
        <w:jc w:val="center"/>
        <w:rPr>
          <w:rFonts w:ascii="Arial" w:hAnsi="Arial" w:cs="Times New Roman"/>
          <w:color w:val="000000"/>
          <w:sz w:val="22"/>
          <w:szCs w:val="22"/>
          <w:lang w:val="es-MX" w:eastAsia="es-ES"/>
        </w:rPr>
      </w:pPr>
    </w:p>
    <w:tbl>
      <w:tblPr>
        <w:tblW w:w="5000" w:type="pct"/>
        <w:tblCellMar>
          <w:left w:w="0" w:type="dxa"/>
          <w:right w:w="0" w:type="dxa"/>
        </w:tblCellMar>
        <w:tblLook w:val="0420" w:firstRow="1" w:lastRow="0" w:firstColumn="0" w:lastColumn="0" w:noHBand="0" w:noVBand="1"/>
      </w:tblPr>
      <w:tblGrid>
        <w:gridCol w:w="4255"/>
        <w:gridCol w:w="5097"/>
      </w:tblGrid>
      <w:tr w:rsidR="00A9159E" w:rsidRPr="00A9159E" w14:paraId="20458DB2" w14:textId="77777777" w:rsidTr="00A9159E">
        <w:trPr>
          <w:trHeight w:val="584"/>
        </w:trPr>
        <w:tc>
          <w:tcPr>
            <w:tcW w:w="2275" w:type="pct"/>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087FE3EE" w14:textId="77777777"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sidRPr="00A9159E">
              <w:rPr>
                <w:rFonts w:ascii="Arial" w:hAnsi="Arial" w:cs="Times New Roman"/>
                <w:b/>
                <w:bCs/>
                <w:color w:val="000000"/>
                <w:lang w:val="es-MX" w:eastAsia="es-ES"/>
              </w:rPr>
              <w:lastRenderedPageBreak/>
              <w:t>INSTITUCIONES ENFERMAS</w:t>
            </w:r>
          </w:p>
        </w:tc>
        <w:tc>
          <w:tcPr>
            <w:tcW w:w="2725" w:type="pct"/>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14:paraId="2D57E6FF" w14:textId="77777777"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sidRPr="00A9159E">
              <w:rPr>
                <w:rFonts w:ascii="Arial" w:hAnsi="Arial" w:cs="Times New Roman"/>
                <w:b/>
                <w:bCs/>
                <w:color w:val="000000"/>
                <w:lang w:val="es-MX" w:eastAsia="es-ES"/>
              </w:rPr>
              <w:t>INSTITUCIONES SANAS</w:t>
            </w:r>
          </w:p>
        </w:tc>
      </w:tr>
      <w:tr w:rsidR="00A9159E" w:rsidRPr="00A9159E" w14:paraId="4F207690" w14:textId="77777777" w:rsidTr="00A9159E">
        <w:trPr>
          <w:trHeight w:val="584"/>
        </w:trPr>
        <w:tc>
          <w:tcPr>
            <w:tcW w:w="2275" w:type="pct"/>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27599CF7" w14:textId="15F9DE29"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Factor Humano</w:t>
            </w:r>
          </w:p>
        </w:tc>
        <w:tc>
          <w:tcPr>
            <w:tcW w:w="2725" w:type="pct"/>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33E76528" w14:textId="7270B41A"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Dirección</w:t>
            </w:r>
          </w:p>
        </w:tc>
      </w:tr>
      <w:tr w:rsidR="00A9159E" w:rsidRPr="00A9159E" w14:paraId="3E9C7F90" w14:textId="77777777" w:rsidTr="00A9159E">
        <w:trPr>
          <w:trHeight w:val="584"/>
        </w:trPr>
        <w:tc>
          <w:tcPr>
            <w:tcW w:w="2275" w:type="pct"/>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2B7153A5" w14:textId="3A970A8E"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Tecnologías de la Información</w:t>
            </w:r>
          </w:p>
        </w:tc>
        <w:tc>
          <w:tcPr>
            <w:tcW w:w="2725" w:type="pct"/>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35A2B8E8" w14:textId="4F7CC692"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Finanzas</w:t>
            </w:r>
          </w:p>
        </w:tc>
      </w:tr>
      <w:tr w:rsidR="00A9159E" w:rsidRPr="00A9159E" w14:paraId="3AA03BC1" w14:textId="77777777" w:rsidTr="00A9159E">
        <w:trPr>
          <w:trHeight w:val="584"/>
        </w:trPr>
        <w:tc>
          <w:tcPr>
            <w:tcW w:w="227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14D684A4" w14:textId="2A5416A6"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Cultura de Trabajo</w:t>
            </w:r>
          </w:p>
        </w:tc>
        <w:tc>
          <w:tcPr>
            <w:tcW w:w="272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04AB4C71" w14:textId="15A65D40"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Comunicación Social</w:t>
            </w:r>
          </w:p>
        </w:tc>
      </w:tr>
      <w:tr w:rsidR="00A9159E" w:rsidRPr="00A9159E" w14:paraId="0F6554BD" w14:textId="77777777" w:rsidTr="00A9159E">
        <w:trPr>
          <w:trHeight w:val="584"/>
        </w:trPr>
        <w:tc>
          <w:tcPr>
            <w:tcW w:w="2275" w:type="pct"/>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30213780" w14:textId="552F0B63"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Administración Médica</w:t>
            </w:r>
          </w:p>
        </w:tc>
        <w:tc>
          <w:tcPr>
            <w:tcW w:w="2725" w:type="pct"/>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14:paraId="055B01EB" w14:textId="49DC8D09"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Prestaciones económicas</w:t>
            </w:r>
          </w:p>
        </w:tc>
      </w:tr>
      <w:tr w:rsidR="00A9159E" w:rsidRPr="00A9159E" w14:paraId="5E6A0DB6" w14:textId="77777777" w:rsidTr="00A9159E">
        <w:trPr>
          <w:trHeight w:val="584"/>
        </w:trPr>
        <w:tc>
          <w:tcPr>
            <w:tcW w:w="227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3D708B43" w14:textId="08D4C5E3"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Insumos para la salud</w:t>
            </w:r>
          </w:p>
        </w:tc>
        <w:tc>
          <w:tcPr>
            <w:tcW w:w="272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14:paraId="219B5073" w14:textId="30F8E2B5"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Servicios jurídicos</w:t>
            </w:r>
          </w:p>
        </w:tc>
      </w:tr>
      <w:tr w:rsidR="00A9159E" w:rsidRPr="00A9159E" w14:paraId="73AD90E6" w14:textId="77777777" w:rsidTr="00A9159E">
        <w:trPr>
          <w:trHeight w:val="584"/>
        </w:trPr>
        <w:tc>
          <w:tcPr>
            <w:tcW w:w="227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tcPr>
          <w:p w14:paraId="5E801413" w14:textId="533CB15D" w:rsid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Conservación de servicios y equipamiento</w:t>
            </w:r>
          </w:p>
        </w:tc>
        <w:tc>
          <w:tcPr>
            <w:tcW w:w="272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tcPr>
          <w:p w14:paraId="728F0487" w14:textId="14FEBAFD"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Recaudación</w:t>
            </w:r>
          </w:p>
        </w:tc>
      </w:tr>
      <w:tr w:rsidR="00A9159E" w:rsidRPr="00A9159E" w14:paraId="4E46B0ED" w14:textId="77777777" w:rsidTr="00A9159E">
        <w:trPr>
          <w:trHeight w:val="584"/>
        </w:trPr>
        <w:tc>
          <w:tcPr>
            <w:tcW w:w="227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tcPr>
          <w:p w14:paraId="3580B407" w14:textId="47C5F54B" w:rsid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Atención médica</w:t>
            </w:r>
          </w:p>
        </w:tc>
        <w:tc>
          <w:tcPr>
            <w:tcW w:w="2725" w:type="pct"/>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tcPr>
          <w:p w14:paraId="25872FEF" w14:textId="22AC9E65" w:rsidR="00A9159E" w:rsidRPr="00A9159E" w:rsidRDefault="00A9159E" w:rsidP="00A9159E">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Afiliación</w:t>
            </w:r>
          </w:p>
        </w:tc>
      </w:tr>
    </w:tbl>
    <w:p w14:paraId="0DE8DB0B" w14:textId="3161A389" w:rsidR="00D735F0" w:rsidRDefault="00D735F0" w:rsidP="00D735F0">
      <w:pPr>
        <w:shd w:val="clear" w:color="auto" w:fill="FFFFFF"/>
        <w:spacing w:after="0" w:line="360" w:lineRule="auto"/>
        <w:jc w:val="both"/>
        <w:rPr>
          <w:rFonts w:ascii="Arial" w:hAnsi="Arial" w:cs="Times New Roman"/>
          <w:color w:val="000000"/>
          <w:lang w:val="es-MX" w:eastAsia="es-ES"/>
        </w:rPr>
      </w:pPr>
    </w:p>
    <w:p w14:paraId="53453AE4" w14:textId="64F5F9DC" w:rsidR="00A9159E" w:rsidRDefault="00A9159E" w:rsidP="00D735F0">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 xml:space="preserve">La institución representa a grandes rasgos ambos lados, tanto positivos como negativos siendo necesario apuntar que todas lás áreas se consideran multidisciplinarias y por ende tienen que participar coactivamente unas con otras para la consecuión de la misión institucional. Sin embargo, al momento de la realización, esta se ve frenada por actitudes laborales que impiden el correcto desempeño laboral y dicho desempeño laboral se ve afectado por las decisiones de los superiores jerárquicos en cuanto a la calidad de trabajo y repartición de deberes. </w:t>
      </w:r>
    </w:p>
    <w:p w14:paraId="68A38A1A" w14:textId="743D13CE" w:rsidR="00A9159E" w:rsidRDefault="00A9159E" w:rsidP="00D735F0">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 xml:space="preserve">Lo anterior va en función que, los trabajadores regularmente son cargados de trabajo diariamente por lo que es difícil atender múltiples objetivos, ya que lo ideal sería tener una cantidad mínima de objetivos para centrar toda la energía en su realización oportuna y eficiente, de lo contrario una alta cantidad de tareas solo baja el desempeño, confunde al trabajador y puede ser desmotivador debido a las horas de trabajo diarias dedicadas. </w:t>
      </w:r>
    </w:p>
    <w:p w14:paraId="70652B5A" w14:textId="0933CEAA" w:rsidR="00A9159E" w:rsidRDefault="00A9159E" w:rsidP="00D735F0">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 xml:space="preserve">Lo anterior ha sido un tema debatido constantemente, toda vez que impacta directamente en la atención al cliente, pues no se le otorga una atención inmediata y de calidad. </w:t>
      </w:r>
    </w:p>
    <w:p w14:paraId="158778D9" w14:textId="53DEAE8E" w:rsidR="00A9159E" w:rsidRDefault="00A9159E" w:rsidP="00D735F0">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 xml:space="preserve">Por otro lado, se tienen las fortalezas del instituto, como lo es la capacidad financiera, de recaudación e incorporación, pues se han cumplido las metas cabalmente establecidas desde nivel central y se han otorgado incentivos a las áreas corresondientes con la finalidad de mejorar las instalaciones. </w:t>
      </w:r>
    </w:p>
    <w:p w14:paraId="739FC893" w14:textId="20456CC2" w:rsidR="00A9159E" w:rsidRDefault="00A9159E" w:rsidP="00D735F0">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Asimismo, en general se posee diversos sistemas de evaluación a las áreas para verificar el estado de los procesos, así como las áreas débiles que requieren reforzar estrategias de seguimiento y planes de mejora, supervisados de manera periódica con la finalidad de incrementar la calidad.</w:t>
      </w:r>
    </w:p>
    <w:p w14:paraId="04B7F52D" w14:textId="629BFEF1" w:rsidR="00A9159E" w:rsidRPr="00232BC0" w:rsidRDefault="00695846" w:rsidP="00D735F0">
      <w:pPr>
        <w:shd w:val="clear" w:color="auto" w:fill="FFFFFF"/>
        <w:spacing w:after="0" w:line="360" w:lineRule="auto"/>
        <w:jc w:val="both"/>
        <w:rPr>
          <w:rFonts w:ascii="Arial" w:hAnsi="Arial" w:cs="Times New Roman"/>
          <w:color w:val="000000"/>
          <w:lang w:val="es-MX" w:eastAsia="es-ES"/>
        </w:rPr>
      </w:pPr>
      <w:r>
        <w:rPr>
          <w:rFonts w:ascii="Arial" w:hAnsi="Arial" w:cs="Times New Roman"/>
          <w:color w:val="000000"/>
          <w:lang w:val="es-MX" w:eastAsia="es-ES"/>
        </w:rPr>
        <w:t>Una institución cuyas fortalezas esten bien cimentadas, puede generar al interior una confianza y clima favorable entre los trabajadores para alentarlos a desempeñarse de manera constante y eficaz, de esta forma eliminando las enfermedades que azotan la atención diaria.</w:t>
      </w:r>
      <w:bookmarkStart w:id="0" w:name="_GoBack"/>
      <w:bookmarkEnd w:id="0"/>
    </w:p>
    <w:sectPr w:rsidR="00A9159E" w:rsidRPr="00232BC0" w:rsidSect="00A202C0">
      <w:pgSz w:w="11900" w:h="16840"/>
      <w:pgMar w:top="1417" w:right="1418"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A9159E" w:rsidRDefault="00A9159E" w:rsidP="002825B6">
      <w:pPr>
        <w:spacing w:after="0"/>
      </w:pPr>
      <w:r>
        <w:separator/>
      </w:r>
    </w:p>
  </w:endnote>
  <w:endnote w:type="continuationSeparator" w:id="0">
    <w:p w14:paraId="4351DCAC" w14:textId="77777777" w:rsidR="00A9159E" w:rsidRDefault="00A9159E"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A9159E" w:rsidRDefault="00A9159E" w:rsidP="002825B6">
      <w:pPr>
        <w:spacing w:after="0"/>
      </w:pPr>
      <w:r>
        <w:separator/>
      </w:r>
    </w:p>
  </w:footnote>
  <w:footnote w:type="continuationSeparator" w:id="0">
    <w:p w14:paraId="66152B6F" w14:textId="77777777" w:rsidR="00A9159E" w:rsidRDefault="00A9159E" w:rsidP="002825B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5012D"/>
    <w:rsid w:val="000F7048"/>
    <w:rsid w:val="0012711C"/>
    <w:rsid w:val="001A0647"/>
    <w:rsid w:val="00232BC0"/>
    <w:rsid w:val="002501FE"/>
    <w:rsid w:val="002621DC"/>
    <w:rsid w:val="002825B6"/>
    <w:rsid w:val="002B46EF"/>
    <w:rsid w:val="00300A4D"/>
    <w:rsid w:val="00420726"/>
    <w:rsid w:val="00496455"/>
    <w:rsid w:val="004F6B2A"/>
    <w:rsid w:val="005443F8"/>
    <w:rsid w:val="005620CC"/>
    <w:rsid w:val="005F073C"/>
    <w:rsid w:val="00695846"/>
    <w:rsid w:val="006F0DEF"/>
    <w:rsid w:val="007D4045"/>
    <w:rsid w:val="007F05EB"/>
    <w:rsid w:val="007F2AF2"/>
    <w:rsid w:val="00920E91"/>
    <w:rsid w:val="00A14726"/>
    <w:rsid w:val="00A202C0"/>
    <w:rsid w:val="00A40B6F"/>
    <w:rsid w:val="00A9159E"/>
    <w:rsid w:val="00AC7D78"/>
    <w:rsid w:val="00B32DD5"/>
    <w:rsid w:val="00B72692"/>
    <w:rsid w:val="00C04515"/>
    <w:rsid w:val="00CB61CF"/>
    <w:rsid w:val="00D61953"/>
    <w:rsid w:val="00D735F0"/>
    <w:rsid w:val="00DF2691"/>
    <w:rsid w:val="00E13C16"/>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198325217">
      <w:bodyDiv w:val="1"/>
      <w:marLeft w:val="0"/>
      <w:marRight w:val="0"/>
      <w:marTop w:val="0"/>
      <w:marBottom w:val="0"/>
      <w:divBdr>
        <w:top w:val="none" w:sz="0" w:space="0" w:color="auto"/>
        <w:left w:val="none" w:sz="0" w:space="0" w:color="auto"/>
        <w:bottom w:val="none" w:sz="0" w:space="0" w:color="auto"/>
        <w:right w:val="none" w:sz="0" w:space="0" w:color="auto"/>
      </w:divBdr>
    </w:div>
    <w:div w:id="250702155">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5060348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084">
      <w:bodyDiv w:val="1"/>
      <w:marLeft w:val="0"/>
      <w:marRight w:val="0"/>
      <w:marTop w:val="0"/>
      <w:marBottom w:val="0"/>
      <w:divBdr>
        <w:top w:val="none" w:sz="0" w:space="0" w:color="auto"/>
        <w:left w:val="none" w:sz="0" w:space="0" w:color="auto"/>
        <w:bottom w:val="none" w:sz="0" w:space="0" w:color="auto"/>
        <w:right w:val="none" w:sz="0" w:space="0" w:color="auto"/>
      </w:divBdr>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486124174">
      <w:bodyDiv w:val="1"/>
      <w:marLeft w:val="0"/>
      <w:marRight w:val="0"/>
      <w:marTop w:val="0"/>
      <w:marBottom w:val="0"/>
      <w:divBdr>
        <w:top w:val="none" w:sz="0" w:space="0" w:color="auto"/>
        <w:left w:val="none" w:sz="0" w:space="0" w:color="auto"/>
        <w:bottom w:val="none" w:sz="0" w:space="0" w:color="auto"/>
        <w:right w:val="none" w:sz="0" w:space="0" w:color="auto"/>
      </w:divBdr>
    </w:div>
    <w:div w:id="1546868769">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1920673892">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384</Words>
  <Characters>2118</Characters>
  <Application>Microsoft Macintosh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2016-01-27T04:10:00Z</dcterms:created>
  <dcterms:modified xsi:type="dcterms:W3CDTF">2016-01-27T04:10:00Z</dcterms:modified>
</cp:coreProperties>
</file>