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5B" w:rsidRPr="00A507F6" w:rsidRDefault="00BD055B" w:rsidP="00A507F6">
      <w:pPr>
        <w:pStyle w:val="Ttulo1"/>
        <w:rPr>
          <w:rStyle w:val="Textoennegrita"/>
          <w:bCs w:val="0"/>
        </w:rPr>
      </w:pPr>
      <w:r w:rsidRPr="00A507F6">
        <w:rPr>
          <w:rStyle w:val="Textoennegrita"/>
          <w:bCs w:val="0"/>
        </w:rPr>
        <w:t xml:space="preserve">La inestabilidad social y su </w:t>
      </w:r>
      <w:r w:rsidR="004D353F" w:rsidRPr="00A507F6">
        <w:rPr>
          <w:rStyle w:val="Textoennegrita"/>
          <w:bCs w:val="0"/>
        </w:rPr>
        <w:t>repercusión</w:t>
      </w:r>
      <w:r w:rsidRPr="00A507F6">
        <w:rPr>
          <w:rStyle w:val="Textoennegrita"/>
          <w:bCs w:val="0"/>
        </w:rPr>
        <w:t xml:space="preserve"> en </w:t>
      </w:r>
      <w:r w:rsidR="00EC2A53">
        <w:rPr>
          <w:rStyle w:val="Textoennegrita"/>
          <w:bCs w:val="0"/>
        </w:rPr>
        <w:t xml:space="preserve">las crisis económicas de China </w:t>
      </w:r>
      <w:r w:rsidRPr="00A507F6">
        <w:rPr>
          <w:rStyle w:val="Textoennegrita"/>
          <w:bCs w:val="0"/>
        </w:rPr>
        <w:t>y México.</w:t>
      </w:r>
    </w:p>
    <w:p w:rsidR="00BD055B" w:rsidRDefault="00BD055B" w:rsidP="0043003A">
      <w:pPr>
        <w:jc w:val="both"/>
        <w:rPr>
          <w:rStyle w:val="Textoennegrita"/>
          <w:b w:val="0"/>
          <w:bCs w:val="0"/>
        </w:rPr>
      </w:pPr>
    </w:p>
    <w:p w:rsidR="00BA4711" w:rsidRDefault="00BD055B" w:rsidP="00A507F6">
      <w:pPr>
        <w:pStyle w:val="Ttulo2"/>
        <w:rPr>
          <w:rStyle w:val="Textoennegrita"/>
          <w:b w:val="0"/>
          <w:bCs w:val="0"/>
        </w:rPr>
      </w:pPr>
      <w:r>
        <w:rPr>
          <w:rStyle w:val="Textoennegrita"/>
          <w:b w:val="0"/>
          <w:bCs w:val="0"/>
        </w:rPr>
        <w:t>Resumen</w:t>
      </w:r>
    </w:p>
    <w:p w:rsidR="00BA4711" w:rsidRDefault="00BA4711" w:rsidP="0043003A">
      <w:pPr>
        <w:jc w:val="both"/>
        <w:rPr>
          <w:rStyle w:val="Textoennegrita"/>
          <w:b w:val="0"/>
          <w:bCs w:val="0"/>
        </w:rPr>
      </w:pPr>
    </w:p>
    <w:p w:rsidR="00BD055B" w:rsidRDefault="00BD055B" w:rsidP="0043003A">
      <w:pPr>
        <w:jc w:val="both"/>
        <w:rPr>
          <w:rStyle w:val="Textoennegrita"/>
          <w:b w:val="0"/>
          <w:bCs w:val="0"/>
        </w:rPr>
      </w:pPr>
      <w:r>
        <w:rPr>
          <w:rStyle w:val="Textoennegrita"/>
          <w:b w:val="0"/>
          <w:bCs w:val="0"/>
        </w:rPr>
        <w:t xml:space="preserve">La inestabilidad social que se presenta antes y durante </w:t>
      </w:r>
      <w:r w:rsidR="0043003A">
        <w:rPr>
          <w:rStyle w:val="Textoennegrita"/>
          <w:b w:val="0"/>
          <w:bCs w:val="0"/>
        </w:rPr>
        <w:t>una crisis económica</w:t>
      </w:r>
      <w:r>
        <w:rPr>
          <w:rStyle w:val="Textoennegrita"/>
          <w:b w:val="0"/>
          <w:bCs w:val="0"/>
        </w:rPr>
        <w:t xml:space="preserve"> </w:t>
      </w:r>
      <w:r w:rsidR="0043003A">
        <w:rPr>
          <w:rStyle w:val="Textoennegrita"/>
          <w:b w:val="0"/>
          <w:bCs w:val="0"/>
        </w:rPr>
        <w:t xml:space="preserve">representa una oportunidad </w:t>
      </w:r>
      <w:r w:rsidR="005D4E3F">
        <w:rPr>
          <w:rStyle w:val="Textoennegrita"/>
          <w:b w:val="0"/>
          <w:bCs w:val="0"/>
        </w:rPr>
        <w:t>de los</w:t>
      </w:r>
      <w:r w:rsidR="0043003A">
        <w:rPr>
          <w:rStyle w:val="Textoennegrita"/>
          <w:b w:val="0"/>
          <w:bCs w:val="0"/>
        </w:rPr>
        <w:t xml:space="preserve"> Gobierno</w:t>
      </w:r>
      <w:r w:rsidR="005D4E3F">
        <w:rPr>
          <w:rStyle w:val="Textoennegrita"/>
          <w:b w:val="0"/>
          <w:bCs w:val="0"/>
        </w:rPr>
        <w:t>s</w:t>
      </w:r>
      <w:r w:rsidR="0043003A">
        <w:rPr>
          <w:rStyle w:val="Textoennegrita"/>
          <w:b w:val="0"/>
          <w:bCs w:val="0"/>
        </w:rPr>
        <w:t xml:space="preserve"> para realizar cambios sustanciales a sus políticas socioeconómicas las cuales bienes encaminadas bajo un enfoque ganar – ganar, pueden lograr el crecimiento económico esperado</w:t>
      </w:r>
      <w:r w:rsidR="00BA4711">
        <w:rPr>
          <w:rStyle w:val="Textoennegrita"/>
          <w:b w:val="0"/>
          <w:bCs w:val="0"/>
        </w:rPr>
        <w:t xml:space="preserve">, y en el otro extremo de no tomarse en cuenta crear </w:t>
      </w:r>
      <w:r w:rsidR="004D353F">
        <w:rPr>
          <w:rStyle w:val="Textoennegrita"/>
          <w:b w:val="0"/>
          <w:bCs w:val="0"/>
        </w:rPr>
        <w:t>movimientos</w:t>
      </w:r>
      <w:r w:rsidR="00BA4711">
        <w:rPr>
          <w:rStyle w:val="Textoennegrita"/>
          <w:b w:val="0"/>
          <w:bCs w:val="0"/>
        </w:rPr>
        <w:t xml:space="preserve"> sociales y desconfianza en la población.</w:t>
      </w:r>
    </w:p>
    <w:p w:rsidR="00BA4711" w:rsidRDefault="00BA4711" w:rsidP="0043003A">
      <w:pPr>
        <w:jc w:val="both"/>
        <w:rPr>
          <w:rStyle w:val="Textoennegrita"/>
          <w:b w:val="0"/>
          <w:bCs w:val="0"/>
        </w:rPr>
      </w:pPr>
    </w:p>
    <w:p w:rsidR="00BA4711" w:rsidRDefault="00BA4711" w:rsidP="00A507F6">
      <w:pPr>
        <w:pStyle w:val="Ttulo2"/>
        <w:rPr>
          <w:rStyle w:val="Textoennegrita"/>
          <w:b w:val="0"/>
          <w:bCs w:val="0"/>
        </w:rPr>
      </w:pPr>
      <w:r>
        <w:rPr>
          <w:rStyle w:val="Textoennegrita"/>
          <w:b w:val="0"/>
          <w:bCs w:val="0"/>
        </w:rPr>
        <w:t>Introducción</w:t>
      </w:r>
    </w:p>
    <w:p w:rsidR="00BA4711" w:rsidRDefault="00BA4711" w:rsidP="0043003A">
      <w:pPr>
        <w:jc w:val="both"/>
        <w:rPr>
          <w:rStyle w:val="Textoennegrita"/>
          <w:b w:val="0"/>
          <w:bCs w:val="0"/>
        </w:rPr>
      </w:pPr>
    </w:p>
    <w:p w:rsidR="00BA4711" w:rsidRDefault="00BA4711" w:rsidP="0043003A">
      <w:pPr>
        <w:jc w:val="both"/>
        <w:rPr>
          <w:rStyle w:val="Textoennegrita"/>
          <w:b w:val="0"/>
          <w:bCs w:val="0"/>
        </w:rPr>
      </w:pPr>
      <w:r>
        <w:rPr>
          <w:rStyle w:val="Textoennegrita"/>
          <w:b w:val="0"/>
          <w:bCs w:val="0"/>
        </w:rPr>
        <w:t xml:space="preserve">El presente ensayo </w:t>
      </w:r>
      <w:r w:rsidR="004D353F">
        <w:rPr>
          <w:rStyle w:val="Textoennegrita"/>
          <w:b w:val="0"/>
          <w:bCs w:val="0"/>
        </w:rPr>
        <w:t>incoa</w:t>
      </w:r>
      <w:r>
        <w:rPr>
          <w:rStyle w:val="Textoennegrita"/>
          <w:b w:val="0"/>
          <w:bCs w:val="0"/>
        </w:rPr>
        <w:t xml:space="preserve"> con </w:t>
      </w:r>
      <w:r w:rsidR="005D4E3F">
        <w:rPr>
          <w:rStyle w:val="Textoennegrita"/>
          <w:b w:val="0"/>
          <w:bCs w:val="0"/>
        </w:rPr>
        <w:t xml:space="preserve">el análisis desde la </w:t>
      </w:r>
      <w:r>
        <w:rPr>
          <w:rStyle w:val="Textoennegrita"/>
          <w:b w:val="0"/>
          <w:bCs w:val="0"/>
        </w:rPr>
        <w:t xml:space="preserve">Gran Revolución Proletaria (GRCP) en China de 1966 a </w:t>
      </w:r>
      <w:r w:rsidR="001D65F6">
        <w:rPr>
          <w:rStyle w:val="Textoennegrita"/>
          <w:b w:val="0"/>
          <w:bCs w:val="0"/>
        </w:rPr>
        <w:t>1975</w:t>
      </w:r>
      <w:r w:rsidR="005D4E3F">
        <w:rPr>
          <w:rStyle w:val="Textoennegrita"/>
          <w:b w:val="0"/>
          <w:bCs w:val="0"/>
        </w:rPr>
        <w:t xml:space="preserve"> hasta </w:t>
      </w:r>
      <w:r w:rsidR="004D353F">
        <w:rPr>
          <w:rStyle w:val="Textoennegrita"/>
          <w:b w:val="0"/>
          <w:bCs w:val="0"/>
        </w:rPr>
        <w:t xml:space="preserve">el nacionalismo obscuro </w:t>
      </w:r>
      <w:r w:rsidR="005D4E3F">
        <w:rPr>
          <w:rStyle w:val="Textoennegrita"/>
          <w:b w:val="0"/>
          <w:bCs w:val="0"/>
        </w:rPr>
        <w:t xml:space="preserve">como resultado de cambios en la </w:t>
      </w:r>
      <w:r w:rsidR="004D353F">
        <w:rPr>
          <w:rStyle w:val="Textoennegrita"/>
          <w:b w:val="0"/>
          <w:bCs w:val="0"/>
        </w:rPr>
        <w:t>política</w:t>
      </w:r>
      <w:r w:rsidR="005D4E3F">
        <w:rPr>
          <w:rStyle w:val="Textoennegrita"/>
          <w:b w:val="0"/>
          <w:bCs w:val="0"/>
        </w:rPr>
        <w:t xml:space="preserve"> económica y las </w:t>
      </w:r>
      <w:r w:rsidR="004D353F">
        <w:rPr>
          <w:rStyle w:val="Textoennegrita"/>
          <w:b w:val="0"/>
          <w:bCs w:val="0"/>
        </w:rPr>
        <w:t>estrategias</w:t>
      </w:r>
      <w:r w:rsidR="005D4E3F">
        <w:rPr>
          <w:rStyle w:val="Textoennegrita"/>
          <w:b w:val="0"/>
          <w:bCs w:val="0"/>
        </w:rPr>
        <w:t xml:space="preserve"> aplicadas para posicionarlo como una economía mundial. </w:t>
      </w:r>
    </w:p>
    <w:p w:rsidR="005D4E3F" w:rsidRDefault="005D4E3F" w:rsidP="0043003A">
      <w:pPr>
        <w:jc w:val="both"/>
        <w:rPr>
          <w:rStyle w:val="Textoennegrita"/>
          <w:b w:val="0"/>
          <w:bCs w:val="0"/>
        </w:rPr>
      </w:pPr>
    </w:p>
    <w:p w:rsidR="005D4E3F" w:rsidRDefault="005D4E3F" w:rsidP="0043003A">
      <w:pPr>
        <w:jc w:val="both"/>
        <w:rPr>
          <w:rStyle w:val="Textoennegrita"/>
          <w:b w:val="0"/>
          <w:bCs w:val="0"/>
        </w:rPr>
      </w:pPr>
      <w:r>
        <w:rPr>
          <w:rStyle w:val="Textoennegrita"/>
          <w:b w:val="0"/>
          <w:bCs w:val="0"/>
        </w:rPr>
        <w:t xml:space="preserve">Los casos de </w:t>
      </w:r>
      <w:bookmarkStart w:id="0" w:name="_GoBack"/>
      <w:bookmarkEnd w:id="0"/>
      <w:r>
        <w:rPr>
          <w:rStyle w:val="Textoennegrita"/>
          <w:b w:val="0"/>
          <w:bCs w:val="0"/>
        </w:rPr>
        <w:t xml:space="preserve">México muestran el </w:t>
      </w:r>
      <w:r w:rsidR="004D353F">
        <w:rPr>
          <w:rStyle w:val="Textoennegrita"/>
          <w:b w:val="0"/>
          <w:bCs w:val="0"/>
        </w:rPr>
        <w:t>panorama</w:t>
      </w:r>
      <w:r>
        <w:rPr>
          <w:rStyle w:val="Textoennegrita"/>
          <w:b w:val="0"/>
          <w:bCs w:val="0"/>
        </w:rPr>
        <w:t xml:space="preserve"> social</w:t>
      </w:r>
      <w:r w:rsidR="001D65F6">
        <w:rPr>
          <w:rStyle w:val="Textoennegrita"/>
          <w:b w:val="0"/>
          <w:bCs w:val="0"/>
        </w:rPr>
        <w:t xml:space="preserve"> que se presenta como resultado de </w:t>
      </w:r>
      <w:r>
        <w:rPr>
          <w:rStyle w:val="Textoennegrita"/>
          <w:b w:val="0"/>
          <w:bCs w:val="0"/>
        </w:rPr>
        <w:t xml:space="preserve">la adopción de </w:t>
      </w:r>
      <w:r w:rsidR="004D353F">
        <w:rPr>
          <w:rStyle w:val="Textoennegrita"/>
          <w:b w:val="0"/>
          <w:bCs w:val="0"/>
        </w:rPr>
        <w:t>políticas</w:t>
      </w:r>
      <w:r>
        <w:rPr>
          <w:rStyle w:val="Textoennegrita"/>
          <w:b w:val="0"/>
          <w:bCs w:val="0"/>
        </w:rPr>
        <w:t xml:space="preserve"> enfocadas en </w:t>
      </w:r>
      <w:r w:rsidR="001D65F6">
        <w:rPr>
          <w:rStyle w:val="Textoennegrita"/>
          <w:b w:val="0"/>
          <w:bCs w:val="0"/>
        </w:rPr>
        <w:t xml:space="preserve">un bajo o nulo </w:t>
      </w:r>
      <w:r>
        <w:rPr>
          <w:rStyle w:val="Textoennegrita"/>
          <w:b w:val="0"/>
          <w:bCs w:val="0"/>
        </w:rPr>
        <w:t>crecimiento económico</w:t>
      </w:r>
      <w:r w:rsidR="001D65F6">
        <w:rPr>
          <w:rStyle w:val="Textoennegrita"/>
          <w:b w:val="0"/>
          <w:bCs w:val="0"/>
        </w:rPr>
        <w:t>.</w:t>
      </w:r>
    </w:p>
    <w:p w:rsidR="001D65F6" w:rsidRDefault="001D65F6" w:rsidP="0043003A">
      <w:pPr>
        <w:jc w:val="both"/>
        <w:rPr>
          <w:rStyle w:val="Textoennegrita"/>
          <w:b w:val="0"/>
          <w:bCs w:val="0"/>
        </w:rPr>
      </w:pPr>
    </w:p>
    <w:p w:rsidR="001D65F6" w:rsidRDefault="001D65F6" w:rsidP="00A507F6">
      <w:pPr>
        <w:pStyle w:val="Ttulo2"/>
        <w:rPr>
          <w:rStyle w:val="Textoennegrita"/>
          <w:b w:val="0"/>
          <w:bCs w:val="0"/>
        </w:rPr>
      </w:pPr>
      <w:r>
        <w:rPr>
          <w:rStyle w:val="Textoennegrita"/>
          <w:b w:val="0"/>
          <w:bCs w:val="0"/>
        </w:rPr>
        <w:t xml:space="preserve">La GRCP y </w:t>
      </w:r>
      <w:r w:rsidR="004D353F">
        <w:rPr>
          <w:rStyle w:val="Textoennegrita"/>
          <w:b w:val="0"/>
          <w:bCs w:val="0"/>
        </w:rPr>
        <w:t>el nacionalismo obscuro</w:t>
      </w:r>
      <w:r>
        <w:rPr>
          <w:rStyle w:val="Textoennegrita"/>
          <w:b w:val="0"/>
          <w:bCs w:val="0"/>
        </w:rPr>
        <w:t xml:space="preserve"> Chino</w:t>
      </w:r>
    </w:p>
    <w:p w:rsidR="001D65F6" w:rsidRDefault="001D65F6" w:rsidP="0043003A">
      <w:pPr>
        <w:jc w:val="both"/>
        <w:rPr>
          <w:rStyle w:val="Textoennegrita"/>
          <w:b w:val="0"/>
          <w:bCs w:val="0"/>
        </w:rPr>
      </w:pPr>
    </w:p>
    <w:p w:rsidR="001D65F6" w:rsidRDefault="001D65F6" w:rsidP="0043003A">
      <w:pPr>
        <w:jc w:val="both"/>
        <w:rPr>
          <w:rStyle w:val="Textoennegrita"/>
          <w:b w:val="0"/>
          <w:bCs w:val="0"/>
        </w:rPr>
      </w:pPr>
      <w:r>
        <w:rPr>
          <w:rStyle w:val="Textoennegrita"/>
          <w:b w:val="0"/>
          <w:bCs w:val="0"/>
        </w:rPr>
        <w:t xml:space="preserve">De 1966 a 1975 el GRCP se genera derivado de las políticas adoptadas por China para lograr la seguridad alimentaria, las cuales entre otras consideran la </w:t>
      </w:r>
      <w:r w:rsidR="004D353F">
        <w:rPr>
          <w:rStyle w:val="Textoennegrita"/>
          <w:b w:val="0"/>
          <w:bCs w:val="0"/>
        </w:rPr>
        <w:t>contención</w:t>
      </w:r>
      <w:r>
        <w:rPr>
          <w:rStyle w:val="Textoennegrita"/>
          <w:b w:val="0"/>
          <w:bCs w:val="0"/>
        </w:rPr>
        <w:t xml:space="preserve"> de la población en sus lugares de origen y el abastecimiento de la fuerza de trabajo mediante el uso intensivo y oportuno de la mano de obra rural y </w:t>
      </w:r>
      <w:r w:rsidR="004D353F">
        <w:rPr>
          <w:rStyle w:val="Textoennegrita"/>
          <w:b w:val="0"/>
          <w:bCs w:val="0"/>
        </w:rPr>
        <w:t>urbana</w:t>
      </w:r>
      <w:r>
        <w:rPr>
          <w:rStyle w:val="Textoennegrita"/>
          <w:b w:val="0"/>
          <w:bCs w:val="0"/>
        </w:rPr>
        <w:t>.</w:t>
      </w:r>
    </w:p>
    <w:p w:rsidR="001D65F6" w:rsidRDefault="001D65F6" w:rsidP="0043003A">
      <w:pPr>
        <w:jc w:val="both"/>
        <w:rPr>
          <w:rStyle w:val="Textoennegrita"/>
          <w:b w:val="0"/>
          <w:bCs w:val="0"/>
        </w:rPr>
      </w:pPr>
    </w:p>
    <w:p w:rsidR="001D65F6" w:rsidRDefault="001D65F6" w:rsidP="001D65F6">
      <w:pPr>
        <w:jc w:val="both"/>
        <w:rPr>
          <w:rStyle w:val="Textoennegrita"/>
          <w:b w:val="0"/>
          <w:bCs w:val="0"/>
        </w:rPr>
      </w:pPr>
      <w:r w:rsidRPr="001D65F6">
        <w:rPr>
          <w:rStyle w:val="Textoennegrita"/>
          <w:b w:val="0"/>
          <w:bCs w:val="0"/>
        </w:rPr>
        <w:t>Este movimiento de masas estuvo dirigido a los ámbitos político y cultural; sin</w:t>
      </w:r>
      <w:r>
        <w:rPr>
          <w:rStyle w:val="Textoennegrita"/>
          <w:b w:val="0"/>
          <w:bCs w:val="0"/>
        </w:rPr>
        <w:t xml:space="preserve"> </w:t>
      </w:r>
      <w:r w:rsidRPr="001D65F6">
        <w:rPr>
          <w:rStyle w:val="Textoennegrita"/>
          <w:b w:val="0"/>
          <w:bCs w:val="0"/>
        </w:rPr>
        <w:t>embargo, tuvo consecuencias catastróficas para el desarrollo socioeconómico de mediano</w:t>
      </w:r>
      <w:r>
        <w:rPr>
          <w:rStyle w:val="Textoennegrita"/>
          <w:b w:val="0"/>
          <w:bCs w:val="0"/>
        </w:rPr>
        <w:t xml:space="preserve"> </w:t>
      </w:r>
      <w:r w:rsidRPr="001D65F6">
        <w:rPr>
          <w:rStyle w:val="Textoennegrita"/>
          <w:b w:val="0"/>
          <w:bCs w:val="0"/>
        </w:rPr>
        <w:t>y largo plazos: aunque se preservó el aparato productivo y se mantuvieron los niveles</w:t>
      </w:r>
      <w:r>
        <w:rPr>
          <w:rStyle w:val="Textoennegrita"/>
          <w:b w:val="0"/>
          <w:bCs w:val="0"/>
        </w:rPr>
        <w:t xml:space="preserve"> </w:t>
      </w:r>
      <w:r w:rsidRPr="001D65F6">
        <w:rPr>
          <w:rStyle w:val="Textoennegrita"/>
          <w:b w:val="0"/>
          <w:bCs w:val="0"/>
        </w:rPr>
        <w:t>de producción, se perdió una oportunidad de transformación del modelo económico,</w:t>
      </w:r>
      <w:r>
        <w:rPr>
          <w:rStyle w:val="Textoennegrita"/>
          <w:b w:val="0"/>
          <w:bCs w:val="0"/>
        </w:rPr>
        <w:t xml:space="preserve"> </w:t>
      </w:r>
      <w:r w:rsidRPr="001D65F6">
        <w:rPr>
          <w:rStyle w:val="Textoennegrita"/>
          <w:b w:val="0"/>
          <w:bCs w:val="0"/>
        </w:rPr>
        <w:t>para que se adaptara mejor a las condiciones del país</w:t>
      </w:r>
      <w:r>
        <w:rPr>
          <w:rStyle w:val="Textoennegrita"/>
          <w:b w:val="0"/>
          <w:bCs w:val="0"/>
        </w:rPr>
        <w:t>.</w:t>
      </w:r>
      <w:r w:rsidR="004541A4">
        <w:rPr>
          <w:rStyle w:val="Refdenotaalpie"/>
        </w:rPr>
        <w:footnoteReference w:id="1"/>
      </w:r>
    </w:p>
    <w:p w:rsidR="004541A4" w:rsidRDefault="004541A4" w:rsidP="001D65F6">
      <w:pPr>
        <w:jc w:val="both"/>
        <w:rPr>
          <w:rStyle w:val="Textoennegrita"/>
          <w:b w:val="0"/>
          <w:bCs w:val="0"/>
        </w:rPr>
      </w:pPr>
    </w:p>
    <w:p w:rsidR="004541A4" w:rsidRDefault="004541A4" w:rsidP="001D65F6">
      <w:pPr>
        <w:jc w:val="both"/>
        <w:rPr>
          <w:rStyle w:val="Textoennegrita"/>
          <w:b w:val="0"/>
          <w:bCs w:val="0"/>
        </w:rPr>
      </w:pPr>
      <w:r>
        <w:rPr>
          <w:rStyle w:val="Textoennegrita"/>
          <w:b w:val="0"/>
          <w:bCs w:val="0"/>
        </w:rPr>
        <w:t>Los puntos más relevantes de este movimiento son los siguientes:</w:t>
      </w:r>
    </w:p>
    <w:p w:rsidR="004541A4" w:rsidRDefault="004541A4" w:rsidP="004541A4">
      <w:pPr>
        <w:pStyle w:val="Prrafodelista"/>
        <w:numPr>
          <w:ilvl w:val="0"/>
          <w:numId w:val="2"/>
        </w:numPr>
        <w:jc w:val="both"/>
        <w:rPr>
          <w:rStyle w:val="Textoennegrita"/>
          <w:b w:val="0"/>
          <w:bCs w:val="0"/>
        </w:rPr>
      </w:pPr>
      <w:r>
        <w:rPr>
          <w:rStyle w:val="Textoennegrita"/>
          <w:b w:val="0"/>
          <w:bCs w:val="0"/>
        </w:rPr>
        <w:t xml:space="preserve">Migración y exilio de </w:t>
      </w:r>
      <w:r w:rsidR="004D353F">
        <w:rPr>
          <w:rStyle w:val="Textoennegrita"/>
          <w:b w:val="0"/>
          <w:bCs w:val="0"/>
        </w:rPr>
        <w:t>jóvenes</w:t>
      </w:r>
      <w:r>
        <w:rPr>
          <w:rStyle w:val="Textoennegrita"/>
          <w:b w:val="0"/>
          <w:bCs w:val="0"/>
        </w:rPr>
        <w:t xml:space="preserve"> urbanos hacia zonas rurales, y su imposición como mano de obra para el campo no calificada.</w:t>
      </w:r>
    </w:p>
    <w:p w:rsidR="004541A4" w:rsidRDefault="004541A4" w:rsidP="004541A4">
      <w:pPr>
        <w:pStyle w:val="Prrafodelista"/>
        <w:numPr>
          <w:ilvl w:val="0"/>
          <w:numId w:val="2"/>
        </w:numPr>
        <w:jc w:val="both"/>
        <w:rPr>
          <w:rStyle w:val="Textoennegrita"/>
          <w:b w:val="0"/>
          <w:bCs w:val="0"/>
        </w:rPr>
      </w:pPr>
      <w:r>
        <w:rPr>
          <w:rStyle w:val="Textoennegrita"/>
          <w:b w:val="0"/>
          <w:bCs w:val="0"/>
        </w:rPr>
        <w:t xml:space="preserve">Las comunas populares que administraban la fuerza de trabajo y </w:t>
      </w:r>
      <w:r w:rsidR="004D353F">
        <w:rPr>
          <w:rStyle w:val="Textoennegrita"/>
          <w:b w:val="0"/>
          <w:bCs w:val="0"/>
        </w:rPr>
        <w:t>establecían</w:t>
      </w:r>
      <w:r>
        <w:rPr>
          <w:rStyle w:val="Textoennegrita"/>
          <w:b w:val="0"/>
          <w:bCs w:val="0"/>
        </w:rPr>
        <w:t xml:space="preserve"> métodos de producción altamente intensivos en la mano de obra.</w:t>
      </w:r>
    </w:p>
    <w:p w:rsidR="004541A4" w:rsidRDefault="004541A4" w:rsidP="004541A4">
      <w:pPr>
        <w:pStyle w:val="Prrafodelista"/>
        <w:numPr>
          <w:ilvl w:val="0"/>
          <w:numId w:val="2"/>
        </w:numPr>
        <w:jc w:val="both"/>
        <w:rPr>
          <w:rStyle w:val="Textoennegrita"/>
          <w:b w:val="0"/>
          <w:bCs w:val="0"/>
        </w:rPr>
      </w:pPr>
      <w:r>
        <w:rPr>
          <w:rStyle w:val="Textoennegrita"/>
          <w:b w:val="0"/>
          <w:bCs w:val="0"/>
        </w:rPr>
        <w:t xml:space="preserve">La falta de movilidad de la fuerza de trabajo y oportunidades para realizarlo fuera de su lugar de origen. </w:t>
      </w:r>
    </w:p>
    <w:p w:rsidR="004541A4" w:rsidRDefault="004541A4" w:rsidP="004541A4">
      <w:pPr>
        <w:ind w:left="360"/>
        <w:jc w:val="both"/>
        <w:rPr>
          <w:rStyle w:val="Textoennegrita"/>
          <w:b w:val="0"/>
          <w:bCs w:val="0"/>
        </w:rPr>
      </w:pPr>
    </w:p>
    <w:p w:rsidR="004541A4" w:rsidRDefault="0001105B" w:rsidP="0001105B">
      <w:pPr>
        <w:ind w:left="360"/>
        <w:jc w:val="both"/>
        <w:rPr>
          <w:rStyle w:val="Textoennegrita"/>
          <w:b w:val="0"/>
          <w:bCs w:val="0"/>
        </w:rPr>
      </w:pPr>
      <w:r>
        <w:rPr>
          <w:rStyle w:val="Textoennegrita"/>
          <w:b w:val="0"/>
          <w:bCs w:val="0"/>
        </w:rPr>
        <w:t xml:space="preserve">La revolución industrial China trajo consigo cambios culturales en la población y las economías mundiales hoy necesitamos </w:t>
      </w:r>
      <w:r w:rsidRPr="0001105B">
        <w:rPr>
          <w:rStyle w:val="Textoennegrita"/>
          <w:b w:val="0"/>
          <w:bCs w:val="0"/>
        </w:rPr>
        <w:t>los chinos para incrementar</w:t>
      </w:r>
      <w:r>
        <w:rPr>
          <w:rStyle w:val="Textoennegrita"/>
          <w:b w:val="0"/>
          <w:bCs w:val="0"/>
        </w:rPr>
        <w:t xml:space="preserve"> </w:t>
      </w:r>
      <w:r w:rsidRPr="0001105B">
        <w:rPr>
          <w:rStyle w:val="Textoennegrita"/>
          <w:b w:val="0"/>
          <w:bCs w:val="0"/>
        </w:rPr>
        <w:t>nuestras exportaciones, y para balancear</w:t>
      </w:r>
      <w:r>
        <w:rPr>
          <w:rStyle w:val="Textoennegrita"/>
          <w:b w:val="0"/>
          <w:bCs w:val="0"/>
        </w:rPr>
        <w:t xml:space="preserve"> </w:t>
      </w:r>
      <w:r w:rsidRPr="0001105B">
        <w:rPr>
          <w:rStyle w:val="Textoennegrita"/>
          <w:b w:val="0"/>
          <w:bCs w:val="0"/>
        </w:rPr>
        <w:t>nuestra economía en Occidente, y</w:t>
      </w:r>
      <w:r>
        <w:rPr>
          <w:rStyle w:val="Textoennegrita"/>
          <w:b w:val="0"/>
          <w:bCs w:val="0"/>
        </w:rPr>
        <w:t xml:space="preserve"> </w:t>
      </w:r>
      <w:r w:rsidRPr="0001105B">
        <w:rPr>
          <w:rStyle w:val="Textoennegrita"/>
          <w:b w:val="0"/>
          <w:bCs w:val="0"/>
        </w:rPr>
        <w:t>los políticos necesitan persuadirlos</w:t>
      </w:r>
      <w:r>
        <w:rPr>
          <w:rStyle w:val="Textoennegrita"/>
          <w:b w:val="0"/>
          <w:bCs w:val="0"/>
        </w:rPr>
        <w:t xml:space="preserve"> </w:t>
      </w:r>
      <w:r w:rsidRPr="0001105B">
        <w:rPr>
          <w:rStyle w:val="Textoennegrita"/>
          <w:b w:val="0"/>
          <w:bCs w:val="0"/>
        </w:rPr>
        <w:t>de invertir en la infraestructura, en</w:t>
      </w:r>
      <w:r>
        <w:rPr>
          <w:rStyle w:val="Textoennegrita"/>
          <w:b w:val="0"/>
          <w:bCs w:val="0"/>
        </w:rPr>
        <w:t xml:space="preserve"> </w:t>
      </w:r>
      <w:r w:rsidRPr="0001105B">
        <w:rPr>
          <w:rStyle w:val="Textoennegrita"/>
          <w:b w:val="0"/>
          <w:bCs w:val="0"/>
        </w:rPr>
        <w:t>la industria, en la banca y en los</w:t>
      </w:r>
      <w:r>
        <w:rPr>
          <w:rStyle w:val="Textoennegrita"/>
          <w:b w:val="0"/>
          <w:bCs w:val="0"/>
        </w:rPr>
        <w:t xml:space="preserve"> </w:t>
      </w:r>
      <w:r w:rsidRPr="0001105B">
        <w:rPr>
          <w:rStyle w:val="Textoennegrita"/>
          <w:b w:val="0"/>
          <w:bCs w:val="0"/>
        </w:rPr>
        <w:t>bienes inmobiliarios</w:t>
      </w:r>
      <w:r>
        <w:rPr>
          <w:rStyle w:val="Refdenotaalpie"/>
        </w:rPr>
        <w:footnoteReference w:id="2"/>
      </w:r>
      <w:r>
        <w:rPr>
          <w:rStyle w:val="Textoennegrita"/>
          <w:b w:val="0"/>
          <w:bCs w:val="0"/>
        </w:rPr>
        <w:t>.</w:t>
      </w:r>
    </w:p>
    <w:p w:rsidR="0001105B" w:rsidRDefault="0001105B" w:rsidP="0001105B">
      <w:pPr>
        <w:ind w:left="360"/>
        <w:jc w:val="both"/>
        <w:rPr>
          <w:rStyle w:val="Textoennegrita"/>
          <w:b w:val="0"/>
          <w:bCs w:val="0"/>
        </w:rPr>
      </w:pPr>
      <w:r>
        <w:rPr>
          <w:rStyle w:val="Textoennegrita"/>
          <w:b w:val="0"/>
          <w:bCs w:val="0"/>
        </w:rPr>
        <w:lastRenderedPageBreak/>
        <w:t xml:space="preserve">Por otra parte el sentimiento de nacionalismo chino de la población y la adopción de cambios en su </w:t>
      </w:r>
      <w:r w:rsidR="004D353F">
        <w:rPr>
          <w:rStyle w:val="Textoennegrita"/>
          <w:b w:val="0"/>
          <w:bCs w:val="0"/>
        </w:rPr>
        <w:t>estándar</w:t>
      </w:r>
      <w:r>
        <w:rPr>
          <w:rStyle w:val="Textoennegrita"/>
          <w:b w:val="0"/>
          <w:bCs w:val="0"/>
        </w:rPr>
        <w:t xml:space="preserve"> de vida con valores de Occidente traen consigo un nacionalismo en su lado oscuro lo que repercute en nuevos movimientos sociales basados en ataques cibernéticos contra Occidente.</w:t>
      </w:r>
    </w:p>
    <w:p w:rsidR="004D353F" w:rsidRDefault="004D353F" w:rsidP="0001105B">
      <w:pPr>
        <w:ind w:left="360"/>
        <w:jc w:val="both"/>
        <w:rPr>
          <w:rStyle w:val="Textoennegrita"/>
          <w:b w:val="0"/>
          <w:bCs w:val="0"/>
        </w:rPr>
      </w:pPr>
    </w:p>
    <w:p w:rsidR="004D353F" w:rsidRDefault="004D353F" w:rsidP="004D353F">
      <w:pPr>
        <w:ind w:left="360"/>
        <w:jc w:val="both"/>
        <w:rPr>
          <w:rStyle w:val="Textoennegrita"/>
          <w:b w:val="0"/>
          <w:bCs w:val="0"/>
        </w:rPr>
      </w:pPr>
      <w:r w:rsidRPr="004D353F">
        <w:rPr>
          <w:rStyle w:val="Textoennegrita"/>
          <w:b w:val="0"/>
          <w:bCs w:val="0"/>
        </w:rPr>
        <w:t>China ha pasado de ser una de las</w:t>
      </w:r>
      <w:r>
        <w:rPr>
          <w:rStyle w:val="Textoennegrita"/>
          <w:b w:val="0"/>
          <w:bCs w:val="0"/>
        </w:rPr>
        <w:t xml:space="preserve"> </w:t>
      </w:r>
      <w:r w:rsidRPr="004D353F">
        <w:rPr>
          <w:rStyle w:val="Textoennegrita"/>
          <w:b w:val="0"/>
          <w:bCs w:val="0"/>
        </w:rPr>
        <w:t>sociedades más igualitarias a una de</w:t>
      </w:r>
      <w:r>
        <w:rPr>
          <w:rStyle w:val="Textoennegrita"/>
          <w:b w:val="0"/>
          <w:bCs w:val="0"/>
        </w:rPr>
        <w:t xml:space="preserve"> </w:t>
      </w:r>
      <w:r w:rsidRPr="004D353F">
        <w:rPr>
          <w:rStyle w:val="Textoennegrita"/>
          <w:b w:val="0"/>
          <w:bCs w:val="0"/>
        </w:rPr>
        <w:t>las más asimétricas, y en el espacio</w:t>
      </w:r>
      <w:r>
        <w:rPr>
          <w:rStyle w:val="Textoennegrita"/>
          <w:b w:val="0"/>
          <w:bCs w:val="0"/>
        </w:rPr>
        <w:t xml:space="preserve"> </w:t>
      </w:r>
      <w:r w:rsidRPr="004D353F">
        <w:rPr>
          <w:rStyle w:val="Textoennegrita"/>
          <w:b w:val="0"/>
          <w:bCs w:val="0"/>
        </w:rPr>
        <w:t>de una generación ha alcanzado los</w:t>
      </w:r>
      <w:r>
        <w:rPr>
          <w:rStyle w:val="Textoennegrita"/>
          <w:b w:val="0"/>
          <w:bCs w:val="0"/>
        </w:rPr>
        <w:t xml:space="preserve"> </w:t>
      </w:r>
      <w:r w:rsidRPr="004D353F">
        <w:rPr>
          <w:rStyle w:val="Textoennegrita"/>
          <w:b w:val="0"/>
          <w:bCs w:val="0"/>
        </w:rPr>
        <w:t>niveles de desigualdad social estadounidenses.</w:t>
      </w:r>
      <w:r>
        <w:rPr>
          <w:rStyle w:val="Refdenotaalpie"/>
        </w:rPr>
        <w:footnoteReference w:id="3"/>
      </w:r>
    </w:p>
    <w:p w:rsidR="004D353F" w:rsidRDefault="004D353F" w:rsidP="004D353F">
      <w:pPr>
        <w:ind w:left="360"/>
        <w:jc w:val="both"/>
        <w:rPr>
          <w:rStyle w:val="Textoennegrita"/>
          <w:b w:val="0"/>
          <w:bCs w:val="0"/>
        </w:rPr>
      </w:pPr>
    </w:p>
    <w:p w:rsidR="004D353F" w:rsidRDefault="004D353F" w:rsidP="00A507F6">
      <w:pPr>
        <w:pStyle w:val="Ttulo2"/>
        <w:rPr>
          <w:rStyle w:val="Textoennegrita"/>
          <w:b w:val="0"/>
          <w:bCs w:val="0"/>
        </w:rPr>
      </w:pPr>
      <w:r>
        <w:rPr>
          <w:rStyle w:val="Textoennegrita"/>
          <w:b w:val="0"/>
          <w:bCs w:val="0"/>
        </w:rPr>
        <w:t>Incertidumbre e inestabilidad económica en</w:t>
      </w:r>
      <w:r w:rsidR="00A507F6">
        <w:rPr>
          <w:rStyle w:val="Textoennegrita"/>
          <w:b w:val="0"/>
          <w:bCs w:val="0"/>
        </w:rPr>
        <w:t xml:space="preserve"> México</w:t>
      </w:r>
    </w:p>
    <w:p w:rsidR="004D353F" w:rsidRDefault="004D353F" w:rsidP="004D353F">
      <w:pPr>
        <w:ind w:left="360"/>
        <w:jc w:val="both"/>
        <w:rPr>
          <w:rStyle w:val="Textoennegrita"/>
          <w:b w:val="0"/>
          <w:bCs w:val="0"/>
        </w:rPr>
      </w:pPr>
    </w:p>
    <w:p w:rsidR="004D353F" w:rsidRDefault="004D353F" w:rsidP="004D353F">
      <w:pPr>
        <w:ind w:left="360"/>
        <w:jc w:val="both"/>
        <w:rPr>
          <w:rStyle w:val="Textoennegrita"/>
          <w:b w:val="0"/>
          <w:bCs w:val="0"/>
        </w:rPr>
      </w:pPr>
      <w:r>
        <w:rPr>
          <w:rStyle w:val="Textoennegrita"/>
          <w:b w:val="0"/>
          <w:bCs w:val="0"/>
        </w:rPr>
        <w:t xml:space="preserve">La “mala fortuna” de haber tenido eventos fortuitos y acontecimientos perjudiciales </w:t>
      </w:r>
      <w:r w:rsidR="00FB654C">
        <w:rPr>
          <w:rStyle w:val="Textoennegrita"/>
          <w:b w:val="0"/>
          <w:bCs w:val="0"/>
        </w:rPr>
        <w:t xml:space="preserve">en </w:t>
      </w:r>
      <w:r>
        <w:rPr>
          <w:rStyle w:val="Textoennegrita"/>
          <w:b w:val="0"/>
          <w:bCs w:val="0"/>
        </w:rPr>
        <w:t>estos paises</w:t>
      </w:r>
      <w:r w:rsidR="00FB654C">
        <w:rPr>
          <w:rStyle w:val="Textoennegrita"/>
          <w:b w:val="0"/>
          <w:bCs w:val="0"/>
        </w:rPr>
        <w:t xml:space="preserve"> trajo consigo el desaliento de la población y la inestabilidad social con la consecuente repercución en la economía.</w:t>
      </w:r>
    </w:p>
    <w:p w:rsidR="00FB654C" w:rsidRDefault="00FB654C" w:rsidP="004D353F">
      <w:pPr>
        <w:ind w:left="360"/>
        <w:jc w:val="both"/>
        <w:rPr>
          <w:rStyle w:val="Textoennegrita"/>
          <w:b w:val="0"/>
          <w:bCs w:val="0"/>
        </w:rPr>
      </w:pPr>
    </w:p>
    <w:p w:rsidR="00FB654C" w:rsidRDefault="00FB654C" w:rsidP="004D353F">
      <w:pPr>
        <w:ind w:left="360"/>
        <w:jc w:val="both"/>
        <w:rPr>
          <w:rStyle w:val="Textoennegrita"/>
          <w:b w:val="0"/>
          <w:bCs w:val="0"/>
        </w:rPr>
      </w:pPr>
      <w:r>
        <w:rPr>
          <w:rStyle w:val="Textoennegrita"/>
          <w:b w:val="0"/>
          <w:bCs w:val="0"/>
        </w:rPr>
        <w:t>Los acontecimientos más relevantes que marcaron la inestabilidad son los siguientes:</w:t>
      </w:r>
    </w:p>
    <w:p w:rsidR="00FB654C" w:rsidRDefault="00FB654C" w:rsidP="00FB654C">
      <w:pPr>
        <w:pStyle w:val="Prrafodelista"/>
        <w:numPr>
          <w:ilvl w:val="0"/>
          <w:numId w:val="3"/>
        </w:numPr>
        <w:jc w:val="both"/>
        <w:rPr>
          <w:rStyle w:val="Textoennegrita"/>
          <w:b w:val="0"/>
          <w:bCs w:val="0"/>
        </w:rPr>
      </w:pPr>
      <w:r>
        <w:rPr>
          <w:rStyle w:val="Textoennegrita"/>
          <w:b w:val="0"/>
          <w:bCs w:val="0"/>
        </w:rPr>
        <w:t>La “mala suerte” en la política adoptada por el Presidente Miguel de la Madrid para renegociar la deuda contraida a tasas de interes flotantes y la desición de cambiarla a tasa de interes de mercados internacionales (LIBOR), la cual mantuvo la inflación a nivel mínimo de 50 % a 60 %</w:t>
      </w:r>
    </w:p>
    <w:p w:rsidR="00FB654C" w:rsidRDefault="00A507F6" w:rsidP="00FB654C">
      <w:pPr>
        <w:pStyle w:val="Prrafodelista"/>
        <w:numPr>
          <w:ilvl w:val="0"/>
          <w:numId w:val="3"/>
        </w:numPr>
        <w:jc w:val="both"/>
        <w:rPr>
          <w:rStyle w:val="Textoennegrita"/>
          <w:b w:val="0"/>
          <w:bCs w:val="0"/>
        </w:rPr>
      </w:pPr>
      <w:r>
        <w:rPr>
          <w:rStyle w:val="Textoennegrita"/>
          <w:b w:val="0"/>
          <w:bCs w:val="0"/>
        </w:rPr>
        <w:t xml:space="preserve">El último año de cada sexenio se vuelve conflictivo debido a que se desata la contienda política, no obstante </w:t>
      </w:r>
      <w:r w:rsidR="00FB654C">
        <w:rPr>
          <w:rStyle w:val="Textoennegrita"/>
          <w:b w:val="0"/>
          <w:bCs w:val="0"/>
        </w:rPr>
        <w:t xml:space="preserve">1994 </w:t>
      </w:r>
      <w:r>
        <w:rPr>
          <w:rStyle w:val="Textoennegrita"/>
          <w:b w:val="0"/>
          <w:bCs w:val="0"/>
        </w:rPr>
        <w:t xml:space="preserve">marca una detonante en la inestabilidad social del pais, con el asesinato de Luis Donaldo Colisio, candidato presidencial </w:t>
      </w:r>
      <w:r w:rsidR="00FB654C">
        <w:rPr>
          <w:rStyle w:val="Textoennegrita"/>
          <w:b w:val="0"/>
          <w:bCs w:val="0"/>
        </w:rPr>
        <w:t>sucesor de Carlos Salinas de Gortari</w:t>
      </w:r>
      <w:r>
        <w:rPr>
          <w:rStyle w:val="Textoennegrita"/>
          <w:b w:val="0"/>
          <w:bCs w:val="0"/>
        </w:rPr>
        <w:t xml:space="preserve"> </w:t>
      </w:r>
      <w:r w:rsidR="00FB654C">
        <w:rPr>
          <w:rStyle w:val="Textoennegrita"/>
          <w:b w:val="0"/>
          <w:bCs w:val="0"/>
        </w:rPr>
        <w:t>y el levantamiento de</w:t>
      </w:r>
      <w:r>
        <w:rPr>
          <w:rStyle w:val="Textoennegrita"/>
          <w:b w:val="0"/>
          <w:bCs w:val="0"/>
        </w:rPr>
        <w:t>l Ejercito Zapatista de Liberación Nacional en Chiapas (EZLN) el mismo día de inicio del Tratado de Libre Comercio.</w:t>
      </w:r>
    </w:p>
    <w:p w:rsidR="00A507F6" w:rsidRPr="00FB654C" w:rsidRDefault="00A507F6" w:rsidP="00FB654C">
      <w:pPr>
        <w:pStyle w:val="Prrafodelista"/>
        <w:numPr>
          <w:ilvl w:val="0"/>
          <w:numId w:val="3"/>
        </w:numPr>
        <w:jc w:val="both"/>
        <w:rPr>
          <w:rStyle w:val="Textoennegrita"/>
          <w:b w:val="0"/>
          <w:bCs w:val="0"/>
        </w:rPr>
      </w:pPr>
      <w:r>
        <w:rPr>
          <w:rStyle w:val="Textoennegrita"/>
          <w:b w:val="0"/>
          <w:bCs w:val="0"/>
        </w:rPr>
        <w:t>El “error de diciembre” con Ernesto Zedillo trajo consigo la desconfianza social y de los invesionistas extranjeros como resultado de haber realizado un ajuste abrupto y agudo en la economía.</w:t>
      </w:r>
    </w:p>
    <w:p w:rsidR="004D353F" w:rsidRDefault="004D353F" w:rsidP="004D353F">
      <w:pPr>
        <w:ind w:left="360"/>
        <w:jc w:val="both"/>
        <w:rPr>
          <w:rStyle w:val="Textoennegrita"/>
          <w:b w:val="0"/>
          <w:bCs w:val="0"/>
        </w:rPr>
      </w:pPr>
    </w:p>
    <w:p w:rsidR="004D353F" w:rsidRDefault="00A507F6" w:rsidP="004D353F">
      <w:pPr>
        <w:ind w:left="360"/>
        <w:jc w:val="both"/>
        <w:rPr>
          <w:rStyle w:val="Textoennegrita"/>
          <w:b w:val="0"/>
          <w:bCs w:val="0"/>
        </w:rPr>
      </w:pPr>
      <w:r>
        <w:rPr>
          <w:rStyle w:val="Textoennegrita"/>
          <w:b w:val="0"/>
          <w:bCs w:val="0"/>
        </w:rPr>
        <w:t>El cambio del partido en el gobierno con Vicente Fox y las propuestas por lograr un cambio en la forma de administrar y lograr resultados comienza a generar la confianza en la población quien después de 70 años de mantener al Partido de la Revolución Democrática apuesta a un crecimiento sostenido.</w:t>
      </w:r>
    </w:p>
    <w:p w:rsidR="00A507F6" w:rsidRDefault="00A507F6" w:rsidP="004D353F">
      <w:pPr>
        <w:ind w:left="360"/>
        <w:jc w:val="both"/>
        <w:rPr>
          <w:rStyle w:val="Textoennegrita"/>
          <w:b w:val="0"/>
          <w:bCs w:val="0"/>
        </w:rPr>
      </w:pPr>
    </w:p>
    <w:p w:rsidR="00A507F6" w:rsidRDefault="00A507F6" w:rsidP="00A507F6">
      <w:pPr>
        <w:pStyle w:val="Ttulo2"/>
        <w:rPr>
          <w:rStyle w:val="Textoennegrita"/>
          <w:b w:val="0"/>
          <w:bCs w:val="0"/>
        </w:rPr>
      </w:pPr>
      <w:r>
        <w:rPr>
          <w:rStyle w:val="Textoennegrita"/>
          <w:b w:val="0"/>
          <w:bCs w:val="0"/>
        </w:rPr>
        <w:t>Conclusión</w:t>
      </w:r>
    </w:p>
    <w:p w:rsidR="00A507F6" w:rsidRDefault="00A507F6" w:rsidP="00A507F6"/>
    <w:p w:rsidR="00A507F6" w:rsidRDefault="0002711D" w:rsidP="0002711D">
      <w:pPr>
        <w:jc w:val="both"/>
      </w:pPr>
      <w:r>
        <w:t>El manejo y manipulación de la información para las politicas económicas ha permitido a los Gobiernos mantener una “estabilidad” social aún cuando gran parte de la población este en desacuerdo con las políticas adoptadas. La inclusión de las redes sociales en la poltica económica no solo muestra el malestar de la gente para los Gobiernos sino que también repercute en el ámbito internacional por lo que pone en riesgo a una economia que no pone atención en estos aspectos.  La adopción de políticas ganar – ganar como los Chinos deberán implemtarse si se quieren realizar verdades cambios en la percepción de los Gobiernos.</w:t>
      </w:r>
    </w:p>
    <w:p w:rsidR="0002711D" w:rsidRPr="00A507F6" w:rsidRDefault="0002711D" w:rsidP="0002711D">
      <w:pPr>
        <w:jc w:val="both"/>
      </w:pPr>
    </w:p>
    <w:sectPr w:rsidR="0002711D" w:rsidRPr="00A507F6" w:rsidSect="00EC2A53">
      <w:pgSz w:w="11906" w:h="16838"/>
      <w:pgMar w:top="56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AB3" w:rsidRDefault="00924AB3" w:rsidP="001D65F6">
      <w:r>
        <w:separator/>
      </w:r>
    </w:p>
  </w:endnote>
  <w:endnote w:type="continuationSeparator" w:id="0">
    <w:p w:rsidR="00924AB3" w:rsidRDefault="00924AB3" w:rsidP="001D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AB3" w:rsidRDefault="00924AB3" w:rsidP="001D65F6">
      <w:r>
        <w:separator/>
      </w:r>
    </w:p>
  </w:footnote>
  <w:footnote w:type="continuationSeparator" w:id="0">
    <w:p w:rsidR="00924AB3" w:rsidRDefault="00924AB3" w:rsidP="001D65F6">
      <w:r>
        <w:continuationSeparator/>
      </w:r>
    </w:p>
  </w:footnote>
  <w:footnote w:id="1">
    <w:p w:rsidR="004541A4" w:rsidRDefault="004541A4">
      <w:pPr>
        <w:pStyle w:val="Textonotapie"/>
      </w:pPr>
      <w:r>
        <w:rPr>
          <w:rStyle w:val="Refdenotaalpie"/>
        </w:rPr>
        <w:footnoteRef/>
      </w:r>
      <w:r>
        <w:t xml:space="preserve"> Maria Teresa Rodriguez y Rodriguez, Autosuficiencia alimentaria en China</w:t>
      </w:r>
    </w:p>
  </w:footnote>
  <w:footnote w:id="2">
    <w:p w:rsidR="0001105B" w:rsidRDefault="0001105B">
      <w:pPr>
        <w:pStyle w:val="Textonotapie"/>
      </w:pPr>
      <w:r>
        <w:rPr>
          <w:rStyle w:val="Refdenotaalpie"/>
        </w:rPr>
        <w:footnoteRef/>
      </w:r>
      <w:r>
        <w:t xml:space="preserve"> Nieto Nubia, Efectos Mundiales del Poder Chino</w:t>
      </w:r>
    </w:p>
  </w:footnote>
  <w:footnote w:id="3">
    <w:p w:rsidR="004D353F" w:rsidRDefault="004D353F">
      <w:pPr>
        <w:pStyle w:val="Textonotapie"/>
      </w:pPr>
      <w:r>
        <w:rPr>
          <w:rStyle w:val="Refdenotaalpie"/>
        </w:rPr>
        <w:footnoteRef/>
      </w:r>
      <w:r>
        <w:t xml:space="preserve"> </w:t>
      </w:r>
      <w:r>
        <w:t>Nieto Nubia, Efectos Mundiales del Poder Chino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D56"/>
    <w:multiLevelType w:val="hybridMultilevel"/>
    <w:tmpl w:val="D9E00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5432EBF"/>
    <w:multiLevelType w:val="hybridMultilevel"/>
    <w:tmpl w:val="CB843E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EC36B35"/>
    <w:multiLevelType w:val="hybridMultilevel"/>
    <w:tmpl w:val="54A4A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53"/>
    <w:rsid w:val="00003716"/>
    <w:rsid w:val="000057ED"/>
    <w:rsid w:val="00005801"/>
    <w:rsid w:val="00005B3D"/>
    <w:rsid w:val="00005C0C"/>
    <w:rsid w:val="0000650B"/>
    <w:rsid w:val="0001105B"/>
    <w:rsid w:val="00011CF3"/>
    <w:rsid w:val="00013221"/>
    <w:rsid w:val="00014975"/>
    <w:rsid w:val="00014F30"/>
    <w:rsid w:val="00021053"/>
    <w:rsid w:val="0002612E"/>
    <w:rsid w:val="0002711D"/>
    <w:rsid w:val="00027D44"/>
    <w:rsid w:val="00031DD6"/>
    <w:rsid w:val="0003578F"/>
    <w:rsid w:val="00035CC2"/>
    <w:rsid w:val="00036370"/>
    <w:rsid w:val="00037403"/>
    <w:rsid w:val="00042AA9"/>
    <w:rsid w:val="00043CED"/>
    <w:rsid w:val="0004761A"/>
    <w:rsid w:val="00053558"/>
    <w:rsid w:val="00053EFD"/>
    <w:rsid w:val="00054BCC"/>
    <w:rsid w:val="00055BD5"/>
    <w:rsid w:val="00056745"/>
    <w:rsid w:val="0005695B"/>
    <w:rsid w:val="00057B82"/>
    <w:rsid w:val="00064B16"/>
    <w:rsid w:val="00065189"/>
    <w:rsid w:val="00070E6D"/>
    <w:rsid w:val="00070E95"/>
    <w:rsid w:val="000731BC"/>
    <w:rsid w:val="00075377"/>
    <w:rsid w:val="00076C77"/>
    <w:rsid w:val="00076DB9"/>
    <w:rsid w:val="0007769D"/>
    <w:rsid w:val="00083021"/>
    <w:rsid w:val="00083E97"/>
    <w:rsid w:val="000846F3"/>
    <w:rsid w:val="00086351"/>
    <w:rsid w:val="00087F92"/>
    <w:rsid w:val="00091367"/>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233F"/>
    <w:rsid w:val="000E4111"/>
    <w:rsid w:val="000E4A2A"/>
    <w:rsid w:val="000F025F"/>
    <w:rsid w:val="000F3A84"/>
    <w:rsid w:val="000F4331"/>
    <w:rsid w:val="000F46C9"/>
    <w:rsid w:val="001008A4"/>
    <w:rsid w:val="00106489"/>
    <w:rsid w:val="0010798E"/>
    <w:rsid w:val="001101B3"/>
    <w:rsid w:val="001114AA"/>
    <w:rsid w:val="001120D3"/>
    <w:rsid w:val="00113C33"/>
    <w:rsid w:val="001142C0"/>
    <w:rsid w:val="00114FD1"/>
    <w:rsid w:val="001172A7"/>
    <w:rsid w:val="001174B7"/>
    <w:rsid w:val="0013351E"/>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CB7"/>
    <w:rsid w:val="001851E8"/>
    <w:rsid w:val="001905C5"/>
    <w:rsid w:val="00190D44"/>
    <w:rsid w:val="001926F5"/>
    <w:rsid w:val="00195C4D"/>
    <w:rsid w:val="0019602C"/>
    <w:rsid w:val="001970DA"/>
    <w:rsid w:val="001A3CD0"/>
    <w:rsid w:val="001A5C65"/>
    <w:rsid w:val="001A6416"/>
    <w:rsid w:val="001A7B16"/>
    <w:rsid w:val="001B1272"/>
    <w:rsid w:val="001B335E"/>
    <w:rsid w:val="001B5CCB"/>
    <w:rsid w:val="001C183D"/>
    <w:rsid w:val="001C3BA1"/>
    <w:rsid w:val="001C71B7"/>
    <w:rsid w:val="001C7253"/>
    <w:rsid w:val="001D0034"/>
    <w:rsid w:val="001D0D66"/>
    <w:rsid w:val="001D0F9E"/>
    <w:rsid w:val="001D3A0F"/>
    <w:rsid w:val="001D51B9"/>
    <w:rsid w:val="001D65F6"/>
    <w:rsid w:val="001D6EC7"/>
    <w:rsid w:val="001D7B72"/>
    <w:rsid w:val="001E0D16"/>
    <w:rsid w:val="001E22B8"/>
    <w:rsid w:val="001E28CA"/>
    <w:rsid w:val="001E45C4"/>
    <w:rsid w:val="001E4B7B"/>
    <w:rsid w:val="001E5E36"/>
    <w:rsid w:val="001E78A0"/>
    <w:rsid w:val="001F662F"/>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1B7B"/>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A4"/>
    <w:rsid w:val="00280128"/>
    <w:rsid w:val="00280336"/>
    <w:rsid w:val="00280CAE"/>
    <w:rsid w:val="002819AF"/>
    <w:rsid w:val="00282BC6"/>
    <w:rsid w:val="0028581B"/>
    <w:rsid w:val="00285FEF"/>
    <w:rsid w:val="002874BA"/>
    <w:rsid w:val="00287EC0"/>
    <w:rsid w:val="00292D06"/>
    <w:rsid w:val="00294A1A"/>
    <w:rsid w:val="00296ABF"/>
    <w:rsid w:val="002A1CD5"/>
    <w:rsid w:val="002A23F4"/>
    <w:rsid w:val="002A3B0E"/>
    <w:rsid w:val="002A549C"/>
    <w:rsid w:val="002A69D8"/>
    <w:rsid w:val="002B1337"/>
    <w:rsid w:val="002B1734"/>
    <w:rsid w:val="002B6F27"/>
    <w:rsid w:val="002B7444"/>
    <w:rsid w:val="002C410D"/>
    <w:rsid w:val="002C520A"/>
    <w:rsid w:val="002E3241"/>
    <w:rsid w:val="002E511B"/>
    <w:rsid w:val="002E6E61"/>
    <w:rsid w:val="002F2BCD"/>
    <w:rsid w:val="00302E85"/>
    <w:rsid w:val="0030386B"/>
    <w:rsid w:val="00304BF8"/>
    <w:rsid w:val="0030576B"/>
    <w:rsid w:val="00312514"/>
    <w:rsid w:val="00313999"/>
    <w:rsid w:val="003150C5"/>
    <w:rsid w:val="00315A4D"/>
    <w:rsid w:val="00316681"/>
    <w:rsid w:val="003237E5"/>
    <w:rsid w:val="00324B9D"/>
    <w:rsid w:val="00325A09"/>
    <w:rsid w:val="003263BA"/>
    <w:rsid w:val="00332A47"/>
    <w:rsid w:val="003339EE"/>
    <w:rsid w:val="00334BF8"/>
    <w:rsid w:val="00334C08"/>
    <w:rsid w:val="00346972"/>
    <w:rsid w:val="003535E9"/>
    <w:rsid w:val="00353624"/>
    <w:rsid w:val="003657DB"/>
    <w:rsid w:val="00372E0B"/>
    <w:rsid w:val="00375910"/>
    <w:rsid w:val="00377151"/>
    <w:rsid w:val="00384D51"/>
    <w:rsid w:val="00386751"/>
    <w:rsid w:val="00392EC4"/>
    <w:rsid w:val="00394EB9"/>
    <w:rsid w:val="003A2AE7"/>
    <w:rsid w:val="003A32C1"/>
    <w:rsid w:val="003A45D7"/>
    <w:rsid w:val="003A5411"/>
    <w:rsid w:val="003A6915"/>
    <w:rsid w:val="003A6B0C"/>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262DD"/>
    <w:rsid w:val="0043003A"/>
    <w:rsid w:val="00432102"/>
    <w:rsid w:val="00432E61"/>
    <w:rsid w:val="00436BAA"/>
    <w:rsid w:val="00442E9B"/>
    <w:rsid w:val="0044501C"/>
    <w:rsid w:val="00445060"/>
    <w:rsid w:val="00446BB1"/>
    <w:rsid w:val="004541A4"/>
    <w:rsid w:val="00455CF9"/>
    <w:rsid w:val="00457443"/>
    <w:rsid w:val="0046327A"/>
    <w:rsid w:val="00464940"/>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59D3"/>
    <w:rsid w:val="004A65D4"/>
    <w:rsid w:val="004B22E6"/>
    <w:rsid w:val="004B3307"/>
    <w:rsid w:val="004B4E57"/>
    <w:rsid w:val="004C2DD6"/>
    <w:rsid w:val="004C3639"/>
    <w:rsid w:val="004C5822"/>
    <w:rsid w:val="004C646E"/>
    <w:rsid w:val="004C7364"/>
    <w:rsid w:val="004D038F"/>
    <w:rsid w:val="004D2492"/>
    <w:rsid w:val="004D353F"/>
    <w:rsid w:val="004D4133"/>
    <w:rsid w:val="004D4560"/>
    <w:rsid w:val="004E1273"/>
    <w:rsid w:val="004E2EA7"/>
    <w:rsid w:val="004E3906"/>
    <w:rsid w:val="004E66BA"/>
    <w:rsid w:val="004F1705"/>
    <w:rsid w:val="004F2809"/>
    <w:rsid w:val="004F485C"/>
    <w:rsid w:val="00502653"/>
    <w:rsid w:val="00503178"/>
    <w:rsid w:val="005036EE"/>
    <w:rsid w:val="00504A65"/>
    <w:rsid w:val="00511425"/>
    <w:rsid w:val="00511EA7"/>
    <w:rsid w:val="00513A91"/>
    <w:rsid w:val="00514D6D"/>
    <w:rsid w:val="00521B50"/>
    <w:rsid w:val="005221A2"/>
    <w:rsid w:val="00523A6E"/>
    <w:rsid w:val="0052509B"/>
    <w:rsid w:val="00532697"/>
    <w:rsid w:val="00536F6E"/>
    <w:rsid w:val="00537B06"/>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145"/>
    <w:rsid w:val="00574E14"/>
    <w:rsid w:val="005755BB"/>
    <w:rsid w:val="00576D90"/>
    <w:rsid w:val="005779EF"/>
    <w:rsid w:val="0058685A"/>
    <w:rsid w:val="00586A20"/>
    <w:rsid w:val="00586F33"/>
    <w:rsid w:val="005901C1"/>
    <w:rsid w:val="00594C4C"/>
    <w:rsid w:val="00595925"/>
    <w:rsid w:val="005965C4"/>
    <w:rsid w:val="0059698B"/>
    <w:rsid w:val="005A6C19"/>
    <w:rsid w:val="005B0170"/>
    <w:rsid w:val="005B12EA"/>
    <w:rsid w:val="005B52B3"/>
    <w:rsid w:val="005B65AF"/>
    <w:rsid w:val="005B65DA"/>
    <w:rsid w:val="005C1E53"/>
    <w:rsid w:val="005C1F14"/>
    <w:rsid w:val="005D09FA"/>
    <w:rsid w:val="005D19B1"/>
    <w:rsid w:val="005D1C4D"/>
    <w:rsid w:val="005D3B1A"/>
    <w:rsid w:val="005D4E3F"/>
    <w:rsid w:val="005D573C"/>
    <w:rsid w:val="005D616B"/>
    <w:rsid w:val="005E1ED2"/>
    <w:rsid w:val="005E5A64"/>
    <w:rsid w:val="005F0874"/>
    <w:rsid w:val="0060705F"/>
    <w:rsid w:val="00615173"/>
    <w:rsid w:val="00615ABB"/>
    <w:rsid w:val="006212BA"/>
    <w:rsid w:val="00622CF6"/>
    <w:rsid w:val="00622D53"/>
    <w:rsid w:val="00622E3D"/>
    <w:rsid w:val="00623704"/>
    <w:rsid w:val="00623DD0"/>
    <w:rsid w:val="0062407C"/>
    <w:rsid w:val="00626DB1"/>
    <w:rsid w:val="00627A47"/>
    <w:rsid w:val="006313F3"/>
    <w:rsid w:val="0063687F"/>
    <w:rsid w:val="00636A12"/>
    <w:rsid w:val="00641DFA"/>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93179"/>
    <w:rsid w:val="00694FEF"/>
    <w:rsid w:val="00695605"/>
    <w:rsid w:val="00697C6F"/>
    <w:rsid w:val="00697FEA"/>
    <w:rsid w:val="006A23AA"/>
    <w:rsid w:val="006A3179"/>
    <w:rsid w:val="006A68DE"/>
    <w:rsid w:val="006B0EDA"/>
    <w:rsid w:val="006B2E82"/>
    <w:rsid w:val="006B3D4E"/>
    <w:rsid w:val="006B5B85"/>
    <w:rsid w:val="006C310C"/>
    <w:rsid w:val="006C3C51"/>
    <w:rsid w:val="006C6945"/>
    <w:rsid w:val="006D2F68"/>
    <w:rsid w:val="006D545E"/>
    <w:rsid w:val="006D7BE7"/>
    <w:rsid w:val="006E5709"/>
    <w:rsid w:val="006F0D4B"/>
    <w:rsid w:val="006F41F8"/>
    <w:rsid w:val="006F5DFB"/>
    <w:rsid w:val="0070141C"/>
    <w:rsid w:val="007023E9"/>
    <w:rsid w:val="00702E10"/>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62D29"/>
    <w:rsid w:val="007634BE"/>
    <w:rsid w:val="007640F1"/>
    <w:rsid w:val="00770F0A"/>
    <w:rsid w:val="00774AAA"/>
    <w:rsid w:val="00782003"/>
    <w:rsid w:val="00782578"/>
    <w:rsid w:val="0078617B"/>
    <w:rsid w:val="00786E7E"/>
    <w:rsid w:val="00787084"/>
    <w:rsid w:val="00791E8B"/>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E15F8"/>
    <w:rsid w:val="007E759A"/>
    <w:rsid w:val="007F0D31"/>
    <w:rsid w:val="007F4F8A"/>
    <w:rsid w:val="007F5178"/>
    <w:rsid w:val="007F62EE"/>
    <w:rsid w:val="007F7E5B"/>
    <w:rsid w:val="008027A0"/>
    <w:rsid w:val="008030D5"/>
    <w:rsid w:val="00804288"/>
    <w:rsid w:val="00814EE4"/>
    <w:rsid w:val="00820447"/>
    <w:rsid w:val="008220CA"/>
    <w:rsid w:val="00823460"/>
    <w:rsid w:val="0082350B"/>
    <w:rsid w:val="008353F5"/>
    <w:rsid w:val="008355BC"/>
    <w:rsid w:val="00844F41"/>
    <w:rsid w:val="00845F22"/>
    <w:rsid w:val="0084613F"/>
    <w:rsid w:val="00847EF2"/>
    <w:rsid w:val="008505F9"/>
    <w:rsid w:val="008547DF"/>
    <w:rsid w:val="008629E2"/>
    <w:rsid w:val="00862EC0"/>
    <w:rsid w:val="00864A0E"/>
    <w:rsid w:val="00865FB7"/>
    <w:rsid w:val="00870583"/>
    <w:rsid w:val="008736F8"/>
    <w:rsid w:val="00874763"/>
    <w:rsid w:val="00875417"/>
    <w:rsid w:val="00890947"/>
    <w:rsid w:val="008939B5"/>
    <w:rsid w:val="008942D2"/>
    <w:rsid w:val="008A0AAC"/>
    <w:rsid w:val="008A2F9A"/>
    <w:rsid w:val="008A3A53"/>
    <w:rsid w:val="008A6989"/>
    <w:rsid w:val="008B1F4A"/>
    <w:rsid w:val="008B4B03"/>
    <w:rsid w:val="008B6E89"/>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3BC6"/>
    <w:rsid w:val="008F7A13"/>
    <w:rsid w:val="00903253"/>
    <w:rsid w:val="00904BB1"/>
    <w:rsid w:val="00905ADF"/>
    <w:rsid w:val="009073CE"/>
    <w:rsid w:val="00911C57"/>
    <w:rsid w:val="00912517"/>
    <w:rsid w:val="009134D8"/>
    <w:rsid w:val="0091362C"/>
    <w:rsid w:val="009160CD"/>
    <w:rsid w:val="00920B37"/>
    <w:rsid w:val="00921031"/>
    <w:rsid w:val="0092114C"/>
    <w:rsid w:val="009217A5"/>
    <w:rsid w:val="00921E54"/>
    <w:rsid w:val="009220DA"/>
    <w:rsid w:val="0092279C"/>
    <w:rsid w:val="00922E55"/>
    <w:rsid w:val="00924AB3"/>
    <w:rsid w:val="0092728A"/>
    <w:rsid w:val="00932B96"/>
    <w:rsid w:val="009337B8"/>
    <w:rsid w:val="00945AD1"/>
    <w:rsid w:val="0094646F"/>
    <w:rsid w:val="009475C6"/>
    <w:rsid w:val="009477DD"/>
    <w:rsid w:val="00947995"/>
    <w:rsid w:val="00950C18"/>
    <w:rsid w:val="00951E02"/>
    <w:rsid w:val="009520E6"/>
    <w:rsid w:val="00953E34"/>
    <w:rsid w:val="00954CC8"/>
    <w:rsid w:val="00962A34"/>
    <w:rsid w:val="009726F1"/>
    <w:rsid w:val="009746A2"/>
    <w:rsid w:val="0097682F"/>
    <w:rsid w:val="00985511"/>
    <w:rsid w:val="00987862"/>
    <w:rsid w:val="00987907"/>
    <w:rsid w:val="00990611"/>
    <w:rsid w:val="00992381"/>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A01475"/>
    <w:rsid w:val="00A02076"/>
    <w:rsid w:val="00A023A1"/>
    <w:rsid w:val="00A03B24"/>
    <w:rsid w:val="00A04AE0"/>
    <w:rsid w:val="00A12319"/>
    <w:rsid w:val="00A14FFD"/>
    <w:rsid w:val="00A15875"/>
    <w:rsid w:val="00A17460"/>
    <w:rsid w:val="00A17675"/>
    <w:rsid w:val="00A21802"/>
    <w:rsid w:val="00A2204C"/>
    <w:rsid w:val="00A2245F"/>
    <w:rsid w:val="00A22856"/>
    <w:rsid w:val="00A24C33"/>
    <w:rsid w:val="00A24FBE"/>
    <w:rsid w:val="00A30F03"/>
    <w:rsid w:val="00A31672"/>
    <w:rsid w:val="00A32ADC"/>
    <w:rsid w:val="00A36292"/>
    <w:rsid w:val="00A37F40"/>
    <w:rsid w:val="00A4387C"/>
    <w:rsid w:val="00A442D9"/>
    <w:rsid w:val="00A507F6"/>
    <w:rsid w:val="00A51E5F"/>
    <w:rsid w:val="00A53B1B"/>
    <w:rsid w:val="00A54B82"/>
    <w:rsid w:val="00A6012A"/>
    <w:rsid w:val="00A65255"/>
    <w:rsid w:val="00A759AE"/>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E1B"/>
    <w:rsid w:val="00AB2FE3"/>
    <w:rsid w:val="00AB52B9"/>
    <w:rsid w:val="00AB5BA5"/>
    <w:rsid w:val="00AB7120"/>
    <w:rsid w:val="00AC05DF"/>
    <w:rsid w:val="00AC2160"/>
    <w:rsid w:val="00AC75E5"/>
    <w:rsid w:val="00AD0377"/>
    <w:rsid w:val="00AD34E3"/>
    <w:rsid w:val="00AD4B3F"/>
    <w:rsid w:val="00AD571C"/>
    <w:rsid w:val="00AD660A"/>
    <w:rsid w:val="00AE03DC"/>
    <w:rsid w:val="00AE1852"/>
    <w:rsid w:val="00AE69DF"/>
    <w:rsid w:val="00AF0ACB"/>
    <w:rsid w:val="00AF1162"/>
    <w:rsid w:val="00AF3572"/>
    <w:rsid w:val="00AF6B88"/>
    <w:rsid w:val="00AF7EDC"/>
    <w:rsid w:val="00B03758"/>
    <w:rsid w:val="00B12A90"/>
    <w:rsid w:val="00B12EE6"/>
    <w:rsid w:val="00B1565A"/>
    <w:rsid w:val="00B17660"/>
    <w:rsid w:val="00B220DD"/>
    <w:rsid w:val="00B22D5D"/>
    <w:rsid w:val="00B2392A"/>
    <w:rsid w:val="00B23FE7"/>
    <w:rsid w:val="00B2408E"/>
    <w:rsid w:val="00B262CC"/>
    <w:rsid w:val="00B35283"/>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CDB"/>
    <w:rsid w:val="00B95AAD"/>
    <w:rsid w:val="00BA0B22"/>
    <w:rsid w:val="00BA3B9E"/>
    <w:rsid w:val="00BA3F5A"/>
    <w:rsid w:val="00BA4711"/>
    <w:rsid w:val="00BA4F3A"/>
    <w:rsid w:val="00BA638F"/>
    <w:rsid w:val="00BB0236"/>
    <w:rsid w:val="00BB1C52"/>
    <w:rsid w:val="00BB1E72"/>
    <w:rsid w:val="00BB45F9"/>
    <w:rsid w:val="00BB73A6"/>
    <w:rsid w:val="00BC0318"/>
    <w:rsid w:val="00BC5D22"/>
    <w:rsid w:val="00BD055B"/>
    <w:rsid w:val="00BD1C6B"/>
    <w:rsid w:val="00BD33D8"/>
    <w:rsid w:val="00BD48BC"/>
    <w:rsid w:val="00BE44B4"/>
    <w:rsid w:val="00BE4F80"/>
    <w:rsid w:val="00BF0C28"/>
    <w:rsid w:val="00BF1AE1"/>
    <w:rsid w:val="00BF36B4"/>
    <w:rsid w:val="00BF5D2D"/>
    <w:rsid w:val="00C00561"/>
    <w:rsid w:val="00C02A6F"/>
    <w:rsid w:val="00C0755A"/>
    <w:rsid w:val="00C11949"/>
    <w:rsid w:val="00C11FA2"/>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3609"/>
    <w:rsid w:val="00CA47A6"/>
    <w:rsid w:val="00CA5AA3"/>
    <w:rsid w:val="00CA6374"/>
    <w:rsid w:val="00CA7231"/>
    <w:rsid w:val="00CB7AA0"/>
    <w:rsid w:val="00CC223E"/>
    <w:rsid w:val="00CC48C3"/>
    <w:rsid w:val="00CD2693"/>
    <w:rsid w:val="00CD6F77"/>
    <w:rsid w:val="00CE1879"/>
    <w:rsid w:val="00CE19CA"/>
    <w:rsid w:val="00CE7578"/>
    <w:rsid w:val="00CF07C7"/>
    <w:rsid w:val="00CF34C0"/>
    <w:rsid w:val="00CF5D1D"/>
    <w:rsid w:val="00CF6C9C"/>
    <w:rsid w:val="00D02874"/>
    <w:rsid w:val="00D04D57"/>
    <w:rsid w:val="00D05437"/>
    <w:rsid w:val="00D1201C"/>
    <w:rsid w:val="00D12218"/>
    <w:rsid w:val="00D24439"/>
    <w:rsid w:val="00D263AB"/>
    <w:rsid w:val="00D316C2"/>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424"/>
    <w:rsid w:val="00DE1C11"/>
    <w:rsid w:val="00DE32B4"/>
    <w:rsid w:val="00DE4F4A"/>
    <w:rsid w:val="00DE543F"/>
    <w:rsid w:val="00DE5A84"/>
    <w:rsid w:val="00DE6341"/>
    <w:rsid w:val="00DE7C2A"/>
    <w:rsid w:val="00DF2376"/>
    <w:rsid w:val="00DF389B"/>
    <w:rsid w:val="00DF6506"/>
    <w:rsid w:val="00DF65D1"/>
    <w:rsid w:val="00DF6AF7"/>
    <w:rsid w:val="00E015FE"/>
    <w:rsid w:val="00E01B32"/>
    <w:rsid w:val="00E02FEB"/>
    <w:rsid w:val="00E050B2"/>
    <w:rsid w:val="00E050CB"/>
    <w:rsid w:val="00E0562E"/>
    <w:rsid w:val="00E11283"/>
    <w:rsid w:val="00E125E6"/>
    <w:rsid w:val="00E12FD2"/>
    <w:rsid w:val="00E15B39"/>
    <w:rsid w:val="00E15F9C"/>
    <w:rsid w:val="00E1679C"/>
    <w:rsid w:val="00E1696E"/>
    <w:rsid w:val="00E224B3"/>
    <w:rsid w:val="00E24528"/>
    <w:rsid w:val="00E31824"/>
    <w:rsid w:val="00E329CC"/>
    <w:rsid w:val="00E333C1"/>
    <w:rsid w:val="00E420AA"/>
    <w:rsid w:val="00E42368"/>
    <w:rsid w:val="00E455CB"/>
    <w:rsid w:val="00E46D23"/>
    <w:rsid w:val="00E46DF6"/>
    <w:rsid w:val="00E46F55"/>
    <w:rsid w:val="00E50FE5"/>
    <w:rsid w:val="00E528CB"/>
    <w:rsid w:val="00E54508"/>
    <w:rsid w:val="00E602F0"/>
    <w:rsid w:val="00E62251"/>
    <w:rsid w:val="00E632DA"/>
    <w:rsid w:val="00E6463E"/>
    <w:rsid w:val="00E655C7"/>
    <w:rsid w:val="00E66681"/>
    <w:rsid w:val="00E72286"/>
    <w:rsid w:val="00E76047"/>
    <w:rsid w:val="00E84E71"/>
    <w:rsid w:val="00E90BD0"/>
    <w:rsid w:val="00E92550"/>
    <w:rsid w:val="00E92910"/>
    <w:rsid w:val="00E97FEC"/>
    <w:rsid w:val="00EA674A"/>
    <w:rsid w:val="00EA6C30"/>
    <w:rsid w:val="00EB0026"/>
    <w:rsid w:val="00EB6341"/>
    <w:rsid w:val="00EB6E3E"/>
    <w:rsid w:val="00EC0602"/>
    <w:rsid w:val="00EC2A53"/>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52AE"/>
    <w:rsid w:val="00F2620D"/>
    <w:rsid w:val="00F26840"/>
    <w:rsid w:val="00F33416"/>
    <w:rsid w:val="00F34279"/>
    <w:rsid w:val="00F34334"/>
    <w:rsid w:val="00F3490B"/>
    <w:rsid w:val="00F34BCC"/>
    <w:rsid w:val="00F40399"/>
    <w:rsid w:val="00F40AE3"/>
    <w:rsid w:val="00F44414"/>
    <w:rsid w:val="00F47A11"/>
    <w:rsid w:val="00F54740"/>
    <w:rsid w:val="00F57008"/>
    <w:rsid w:val="00F65F77"/>
    <w:rsid w:val="00F67086"/>
    <w:rsid w:val="00F72DB6"/>
    <w:rsid w:val="00F73A7C"/>
    <w:rsid w:val="00F747C1"/>
    <w:rsid w:val="00F81EA8"/>
    <w:rsid w:val="00F8274F"/>
    <w:rsid w:val="00F83916"/>
    <w:rsid w:val="00F8580F"/>
    <w:rsid w:val="00F87707"/>
    <w:rsid w:val="00F901F3"/>
    <w:rsid w:val="00F92F29"/>
    <w:rsid w:val="00F96F6E"/>
    <w:rsid w:val="00F97C8A"/>
    <w:rsid w:val="00FA1256"/>
    <w:rsid w:val="00FA29CD"/>
    <w:rsid w:val="00FA43FB"/>
    <w:rsid w:val="00FA50FF"/>
    <w:rsid w:val="00FA5D42"/>
    <w:rsid w:val="00FA6482"/>
    <w:rsid w:val="00FA76E4"/>
    <w:rsid w:val="00FA7D55"/>
    <w:rsid w:val="00FB0838"/>
    <w:rsid w:val="00FB32F8"/>
    <w:rsid w:val="00FB5888"/>
    <w:rsid w:val="00FB5BD9"/>
    <w:rsid w:val="00FB654C"/>
    <w:rsid w:val="00FB718B"/>
    <w:rsid w:val="00FC0746"/>
    <w:rsid w:val="00FC0A14"/>
    <w:rsid w:val="00FC1AC1"/>
    <w:rsid w:val="00FC20DC"/>
    <w:rsid w:val="00FC31B0"/>
    <w:rsid w:val="00FC3544"/>
    <w:rsid w:val="00FC39C1"/>
    <w:rsid w:val="00FC3CFD"/>
    <w:rsid w:val="00FC56DA"/>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60AFF0-6673-4AD7-8C6F-9E418150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55B"/>
    <w:rPr>
      <w:rFonts w:ascii="Arial" w:hAnsi="Arial"/>
      <w:sz w:val="24"/>
      <w:szCs w:val="24"/>
      <w:lang w:eastAsia="es-ES"/>
    </w:rPr>
  </w:style>
  <w:style w:type="paragraph" w:styleId="Ttulo1">
    <w:name w:val="heading 1"/>
    <w:basedOn w:val="Normal"/>
    <w:next w:val="Normal"/>
    <w:link w:val="Ttulo1Car"/>
    <w:qFormat/>
    <w:rsid w:val="00A507F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A507F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32102"/>
    <w:rPr>
      <w:b/>
      <w:bCs/>
    </w:rPr>
  </w:style>
  <w:style w:type="character" w:customStyle="1" w:styleId="apple-converted-space">
    <w:name w:val="apple-converted-space"/>
    <w:basedOn w:val="Fuentedeprrafopredeter"/>
    <w:rsid w:val="00432102"/>
  </w:style>
  <w:style w:type="paragraph" w:styleId="Prrafodelista">
    <w:name w:val="List Paragraph"/>
    <w:basedOn w:val="Normal"/>
    <w:uiPriority w:val="34"/>
    <w:qFormat/>
    <w:rsid w:val="004E2EA7"/>
    <w:pPr>
      <w:ind w:left="720"/>
      <w:contextualSpacing/>
    </w:pPr>
  </w:style>
  <w:style w:type="paragraph" w:styleId="Encabezado">
    <w:name w:val="header"/>
    <w:basedOn w:val="Normal"/>
    <w:link w:val="EncabezadoCar"/>
    <w:unhideWhenUsed/>
    <w:rsid w:val="001D65F6"/>
    <w:pPr>
      <w:tabs>
        <w:tab w:val="center" w:pos="4419"/>
        <w:tab w:val="right" w:pos="8838"/>
      </w:tabs>
    </w:pPr>
  </w:style>
  <w:style w:type="character" w:customStyle="1" w:styleId="EncabezadoCar">
    <w:name w:val="Encabezado Car"/>
    <w:basedOn w:val="Fuentedeprrafopredeter"/>
    <w:link w:val="Encabezado"/>
    <w:rsid w:val="001D65F6"/>
    <w:rPr>
      <w:rFonts w:ascii="Arial" w:hAnsi="Arial"/>
      <w:sz w:val="24"/>
      <w:szCs w:val="24"/>
      <w:lang w:eastAsia="es-ES"/>
    </w:rPr>
  </w:style>
  <w:style w:type="paragraph" w:styleId="Piedepgina">
    <w:name w:val="footer"/>
    <w:basedOn w:val="Normal"/>
    <w:link w:val="PiedepginaCar"/>
    <w:uiPriority w:val="99"/>
    <w:unhideWhenUsed/>
    <w:rsid w:val="001D65F6"/>
    <w:pPr>
      <w:tabs>
        <w:tab w:val="center" w:pos="4419"/>
        <w:tab w:val="right" w:pos="8838"/>
      </w:tabs>
    </w:pPr>
  </w:style>
  <w:style w:type="character" w:customStyle="1" w:styleId="PiedepginaCar">
    <w:name w:val="Pie de página Car"/>
    <w:basedOn w:val="Fuentedeprrafopredeter"/>
    <w:link w:val="Piedepgina"/>
    <w:uiPriority w:val="99"/>
    <w:rsid w:val="001D65F6"/>
    <w:rPr>
      <w:rFonts w:ascii="Arial" w:hAnsi="Arial"/>
      <w:sz w:val="24"/>
      <w:szCs w:val="24"/>
      <w:lang w:eastAsia="es-ES"/>
    </w:rPr>
  </w:style>
  <w:style w:type="paragraph" w:styleId="Textonotapie">
    <w:name w:val="footnote text"/>
    <w:basedOn w:val="Normal"/>
    <w:link w:val="TextonotapieCar"/>
    <w:semiHidden/>
    <w:unhideWhenUsed/>
    <w:rsid w:val="004541A4"/>
    <w:rPr>
      <w:sz w:val="20"/>
      <w:szCs w:val="20"/>
    </w:rPr>
  </w:style>
  <w:style w:type="character" w:customStyle="1" w:styleId="TextonotapieCar">
    <w:name w:val="Texto nota pie Car"/>
    <w:basedOn w:val="Fuentedeprrafopredeter"/>
    <w:link w:val="Textonotapie"/>
    <w:semiHidden/>
    <w:rsid w:val="004541A4"/>
    <w:rPr>
      <w:rFonts w:ascii="Arial" w:hAnsi="Arial"/>
      <w:lang w:eastAsia="es-ES"/>
    </w:rPr>
  </w:style>
  <w:style w:type="character" w:styleId="Refdenotaalpie">
    <w:name w:val="footnote reference"/>
    <w:basedOn w:val="Fuentedeprrafopredeter"/>
    <w:semiHidden/>
    <w:unhideWhenUsed/>
    <w:rsid w:val="004541A4"/>
    <w:rPr>
      <w:vertAlign w:val="superscript"/>
    </w:rPr>
  </w:style>
  <w:style w:type="character" w:customStyle="1" w:styleId="Ttulo1Car">
    <w:name w:val="Título 1 Car"/>
    <w:basedOn w:val="Fuentedeprrafopredeter"/>
    <w:link w:val="Ttulo1"/>
    <w:rsid w:val="00A507F6"/>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rsid w:val="00A507F6"/>
    <w:rPr>
      <w:rFonts w:asciiTheme="majorHAnsi" w:eastAsiaTheme="majorEastAsia" w:hAnsiTheme="majorHAnsi" w:cstheme="majorBidi"/>
      <w:color w:val="2E74B5"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AFE3-1C4F-4D8E-85C3-A34542D8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Pages>
  <Words>791</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Cuauhtemoc Flores Garcia</dc:creator>
  <cp:keywords/>
  <dc:description/>
  <cp:lastModifiedBy>Cuauhtemoc Flores Garcia</cp:lastModifiedBy>
  <cp:revision>5</cp:revision>
  <dcterms:created xsi:type="dcterms:W3CDTF">2015-10-01T21:16:00Z</dcterms:created>
  <dcterms:modified xsi:type="dcterms:W3CDTF">2015-10-03T04:50:00Z</dcterms:modified>
</cp:coreProperties>
</file>