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Content>
        <w:p w:rsidR="0059560A" w:rsidRDefault="0059560A"/>
        <w:p w:rsidR="00F544FC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804545</wp:posOffset>
                    </wp:positionH>
                    <wp:positionV relativeFrom="page">
                      <wp:posOffset>2781300</wp:posOffset>
                    </wp:positionV>
                    <wp:extent cx="4686300" cy="29146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1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699" w:rsidRDefault="002F369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20528760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Plan Estratégico para la Coordinación Delegacional de Informática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19604807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F3699" w:rsidRDefault="002F369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C7E2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MECANISMOS de evaluación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F3699" w:rsidRDefault="002F369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 mat. 20150796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63.35pt;margin-top:219pt;width:369pt;height:229.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C1egIAAF4FAAAOAAAAZHJzL2Uyb0RvYy54bWysVMFu2zAMvQ/YPwi6r07aLui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" filled="f" stroked="f" strokeweight=".5pt">
                    <v:textbox inset="0,0,0,0">
                      <w:txbxContent>
                        <w:p w:rsidR="002F3699" w:rsidRDefault="002F369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20528760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Plan Estratégico para la Coordinación Delegacional de Informática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19604807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3699" w:rsidRDefault="002F369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C7E2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MECANISMOS de evaluación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F3699" w:rsidRDefault="002F369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 mat. 20150796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F3699" w:rsidRDefault="002F369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F3699" w:rsidRDefault="002F369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544FC" w:rsidRDefault="001A4256" w:rsidP="00F544FC">
      <w:pPr>
        <w:pStyle w:val="Ttulo1"/>
      </w:pPr>
      <w:r>
        <w:lastRenderedPageBreak/>
        <w:t>Estrategias</w:t>
      </w:r>
      <w:r w:rsidR="00F544FC">
        <w:t xml:space="preserve"> bajo control</w:t>
      </w:r>
    </w:p>
    <w:p w:rsidR="00227115" w:rsidRPr="00227115" w:rsidRDefault="00227115" w:rsidP="00227115">
      <w:r>
        <w:t xml:space="preserve">Objetivo: </w:t>
      </w:r>
      <w:r w:rsidRPr="00227115">
        <w:t>1.</w:t>
      </w:r>
      <w:r w:rsidRPr="00227115">
        <w:tab/>
      </w:r>
      <w:r w:rsidR="00E75540" w:rsidRPr="00AD240D">
        <w:rPr>
          <w:rFonts w:cs="Arial"/>
        </w:rPr>
        <w:t xml:space="preserve">Garantizar la operación y funcionamiento de la infraestructura de comunicación y equipos de cómputo, así como su ubicación en las áreas </w:t>
      </w:r>
      <w:r w:rsidR="00E75540">
        <w:rPr>
          <w:rFonts w:cs="Arial"/>
        </w:rPr>
        <w:t>Delegacionales.</w:t>
      </w: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701"/>
        <w:gridCol w:w="1843"/>
        <w:gridCol w:w="1984"/>
        <w:gridCol w:w="851"/>
        <w:gridCol w:w="992"/>
        <w:gridCol w:w="992"/>
        <w:gridCol w:w="2977"/>
      </w:tblGrid>
      <w:tr w:rsidR="00E75540" w:rsidRPr="003715ED" w:rsidTr="00602F0E">
        <w:trPr>
          <w:trHeight w:val="268"/>
        </w:trPr>
        <w:tc>
          <w:tcPr>
            <w:tcW w:w="1696" w:type="dxa"/>
            <w:vMerge w:val="restart"/>
          </w:tcPr>
          <w:p w:rsidR="00F544FC" w:rsidRPr="00F544FC" w:rsidRDefault="001A4256" w:rsidP="00F544FC">
            <w:pPr>
              <w:jc w:val="center"/>
            </w:pPr>
            <w:r w:rsidRPr="00F544FC">
              <w:t>Estrategia</w:t>
            </w:r>
          </w:p>
        </w:tc>
        <w:tc>
          <w:tcPr>
            <w:tcW w:w="851" w:type="dxa"/>
            <w:vMerge w:val="restart"/>
          </w:tcPr>
          <w:p w:rsidR="00F544FC" w:rsidRPr="00F544FC" w:rsidRDefault="00F544FC" w:rsidP="00F544FC">
            <w:pPr>
              <w:jc w:val="center"/>
            </w:pPr>
            <w:r w:rsidRPr="00F544FC">
              <w:t>Meta</w:t>
            </w:r>
          </w:p>
        </w:tc>
        <w:tc>
          <w:tcPr>
            <w:tcW w:w="1701" w:type="dxa"/>
            <w:vMerge w:val="restart"/>
          </w:tcPr>
          <w:p w:rsidR="00F544FC" w:rsidRPr="00F544FC" w:rsidRDefault="00F544FC" w:rsidP="00F544FC">
            <w:pPr>
              <w:jc w:val="center"/>
            </w:pPr>
            <w:r w:rsidRPr="00F544FC">
              <w:t>Indicadores</w:t>
            </w:r>
          </w:p>
        </w:tc>
        <w:tc>
          <w:tcPr>
            <w:tcW w:w="1843" w:type="dxa"/>
            <w:vMerge w:val="restart"/>
          </w:tcPr>
          <w:p w:rsidR="00F544FC" w:rsidRPr="00F544FC" w:rsidRDefault="00F544FC" w:rsidP="00F544FC">
            <w:pPr>
              <w:jc w:val="center"/>
            </w:pPr>
            <w:r w:rsidRPr="00F544FC">
              <w:t>Formula del Indicador</w:t>
            </w:r>
          </w:p>
        </w:tc>
        <w:tc>
          <w:tcPr>
            <w:tcW w:w="1984" w:type="dxa"/>
            <w:vMerge w:val="restart"/>
          </w:tcPr>
          <w:p w:rsidR="00F544FC" w:rsidRPr="00F544FC" w:rsidRDefault="00F544FC" w:rsidP="00F544FC">
            <w:pPr>
              <w:jc w:val="center"/>
            </w:pPr>
            <w:r w:rsidRPr="00F544FC">
              <w:t>Fuente</w:t>
            </w:r>
          </w:p>
        </w:tc>
        <w:tc>
          <w:tcPr>
            <w:tcW w:w="2835" w:type="dxa"/>
            <w:gridSpan w:val="3"/>
          </w:tcPr>
          <w:p w:rsidR="00F544FC" w:rsidRPr="00F544FC" w:rsidRDefault="00F544FC" w:rsidP="00F544FC">
            <w:pPr>
              <w:jc w:val="center"/>
            </w:pPr>
            <w:r>
              <w:t>Rango</w:t>
            </w:r>
          </w:p>
        </w:tc>
        <w:tc>
          <w:tcPr>
            <w:tcW w:w="2977" w:type="dxa"/>
            <w:vMerge w:val="restart"/>
          </w:tcPr>
          <w:p w:rsidR="00F544FC" w:rsidRPr="00F544FC" w:rsidRDefault="00F544FC" w:rsidP="00F544FC">
            <w:pPr>
              <w:jc w:val="center"/>
            </w:pPr>
            <w:r w:rsidRPr="00F544FC">
              <w:t>Método de análisis</w:t>
            </w:r>
          </w:p>
        </w:tc>
      </w:tr>
      <w:tr w:rsidR="00E75540" w:rsidRPr="003715ED" w:rsidTr="00602F0E">
        <w:tc>
          <w:tcPr>
            <w:tcW w:w="1696" w:type="dxa"/>
            <w:vMerge/>
          </w:tcPr>
          <w:p w:rsidR="00F544FC" w:rsidRPr="00F544FC" w:rsidRDefault="00F544FC" w:rsidP="002F3699"/>
        </w:tc>
        <w:tc>
          <w:tcPr>
            <w:tcW w:w="851" w:type="dxa"/>
            <w:vMerge/>
          </w:tcPr>
          <w:p w:rsidR="00F544FC" w:rsidRPr="00F544FC" w:rsidRDefault="00F544FC" w:rsidP="002F3699"/>
        </w:tc>
        <w:tc>
          <w:tcPr>
            <w:tcW w:w="1701" w:type="dxa"/>
            <w:vMerge/>
          </w:tcPr>
          <w:p w:rsidR="00F544FC" w:rsidRPr="00F544FC" w:rsidRDefault="00F544FC" w:rsidP="002F3699"/>
        </w:tc>
        <w:tc>
          <w:tcPr>
            <w:tcW w:w="1843" w:type="dxa"/>
            <w:vMerge/>
          </w:tcPr>
          <w:p w:rsidR="00F544FC" w:rsidRPr="00F544FC" w:rsidRDefault="00F544FC" w:rsidP="002F3699"/>
        </w:tc>
        <w:tc>
          <w:tcPr>
            <w:tcW w:w="1984" w:type="dxa"/>
            <w:vMerge/>
          </w:tcPr>
          <w:p w:rsidR="00F544FC" w:rsidRPr="00F544FC" w:rsidRDefault="00F544FC" w:rsidP="002F3699"/>
        </w:tc>
        <w:tc>
          <w:tcPr>
            <w:tcW w:w="851" w:type="dxa"/>
          </w:tcPr>
          <w:p w:rsidR="00F544FC" w:rsidRPr="00F544FC" w:rsidRDefault="00F544FC" w:rsidP="00E75540">
            <w:pPr>
              <w:jc w:val="center"/>
            </w:pPr>
            <w:r w:rsidRPr="00F544FC">
              <w:t>V</w:t>
            </w:r>
          </w:p>
        </w:tc>
        <w:tc>
          <w:tcPr>
            <w:tcW w:w="992" w:type="dxa"/>
          </w:tcPr>
          <w:p w:rsidR="00F544FC" w:rsidRPr="00F544FC" w:rsidRDefault="00E75540" w:rsidP="00F544FC">
            <w:pPr>
              <w:jc w:val="center"/>
            </w:pPr>
            <w:r>
              <w:t>A</w:t>
            </w:r>
          </w:p>
        </w:tc>
        <w:tc>
          <w:tcPr>
            <w:tcW w:w="992" w:type="dxa"/>
          </w:tcPr>
          <w:p w:rsidR="00F544FC" w:rsidRPr="00F544FC" w:rsidRDefault="00E75540" w:rsidP="00F544FC">
            <w:pPr>
              <w:jc w:val="center"/>
            </w:pPr>
            <w:r>
              <w:t>R</w:t>
            </w:r>
          </w:p>
        </w:tc>
        <w:tc>
          <w:tcPr>
            <w:tcW w:w="2977" w:type="dxa"/>
            <w:vMerge/>
          </w:tcPr>
          <w:p w:rsidR="00F544FC" w:rsidRPr="003715ED" w:rsidRDefault="00F544FC" w:rsidP="002F3699"/>
        </w:tc>
      </w:tr>
      <w:tr w:rsidR="00602F0E" w:rsidRPr="003715ED" w:rsidTr="00602F0E">
        <w:tc>
          <w:tcPr>
            <w:tcW w:w="1696" w:type="dxa"/>
            <w:vAlign w:val="center"/>
          </w:tcPr>
          <w:p w:rsidR="00602F0E" w:rsidRPr="00F544FC" w:rsidRDefault="00602F0E" w:rsidP="00602F0E">
            <w:pPr>
              <w:jc w:val="left"/>
            </w:pPr>
            <w:r>
              <w:t>Garantizar el f</w:t>
            </w:r>
            <w:r w:rsidRPr="00E75540">
              <w:t xml:space="preserve">uncionamiento de </w:t>
            </w:r>
            <w:r>
              <w:t xml:space="preserve">los </w:t>
            </w:r>
            <w:r w:rsidRPr="00E75540">
              <w:t>equipos de cómputo Institucional</w:t>
            </w:r>
            <w:r>
              <w:t>es</w:t>
            </w:r>
            <w:r w:rsidRPr="00E75540">
              <w:t xml:space="preserve"> (PC´s, impresoras y </w:t>
            </w:r>
            <w:r>
              <w:t>Laptops)</w:t>
            </w:r>
          </w:p>
        </w:tc>
        <w:tc>
          <w:tcPr>
            <w:tcW w:w="851" w:type="dxa"/>
            <w:vAlign w:val="center"/>
          </w:tcPr>
          <w:p w:rsidR="00602F0E" w:rsidRPr="00F544FC" w:rsidRDefault="00602F0E" w:rsidP="00602F0E">
            <w:pPr>
              <w:jc w:val="left"/>
            </w:pPr>
            <w:r>
              <w:t>&gt;90%</w:t>
            </w:r>
          </w:p>
        </w:tc>
        <w:tc>
          <w:tcPr>
            <w:tcW w:w="1701" w:type="dxa"/>
            <w:vAlign w:val="center"/>
          </w:tcPr>
          <w:p w:rsidR="00602F0E" w:rsidRPr="00F544FC" w:rsidRDefault="006630B1" w:rsidP="006630B1">
            <w:pPr>
              <w:jc w:val="left"/>
            </w:pPr>
            <w:r>
              <w:rPr>
                <w:rFonts w:cs="Arial"/>
              </w:rPr>
              <w:t>Inventario de i</w:t>
            </w:r>
            <w:r w:rsidR="00602F0E" w:rsidRPr="00AD240D">
              <w:rPr>
                <w:rFonts w:cs="Arial"/>
              </w:rPr>
              <w:t xml:space="preserve">nfraestructura </w:t>
            </w:r>
            <w:r w:rsidR="00602F0E">
              <w:rPr>
                <w:rFonts w:cs="Arial"/>
              </w:rPr>
              <w:t>i</w:t>
            </w:r>
            <w:r w:rsidR="00602F0E" w:rsidRPr="00AD240D">
              <w:rPr>
                <w:rFonts w:cs="Arial"/>
              </w:rPr>
              <w:t>nformática</w:t>
            </w:r>
            <w:r w:rsidR="00602F0E">
              <w:rPr>
                <w:rFonts w:cs="Arial"/>
              </w:rPr>
              <w:t>.</w:t>
            </w:r>
          </w:p>
        </w:tc>
        <w:tc>
          <w:tcPr>
            <w:tcW w:w="1843" w:type="dxa"/>
            <w:vAlign w:val="center"/>
          </w:tcPr>
          <w:p w:rsidR="00602F0E" w:rsidRPr="00F544FC" w:rsidRDefault="00602F0E" w:rsidP="00602F0E">
            <w:pPr>
              <w:jc w:val="left"/>
            </w:pPr>
            <w:r>
              <w:rPr>
                <w:rFonts w:cs="Arial"/>
                <w:lang w:val="es-ES"/>
              </w:rPr>
              <w:t>Equipos</w:t>
            </w:r>
            <w:r w:rsidRPr="00AD240D">
              <w:rPr>
                <w:rFonts w:cs="Arial"/>
                <w:lang w:val="es-ES"/>
              </w:rPr>
              <w:t xml:space="preserve"> de cómputo en funcionamiento y operación correcta, de la muestra, entre </w:t>
            </w:r>
            <w:r>
              <w:rPr>
                <w:rFonts w:cs="Arial"/>
                <w:lang w:val="es-ES"/>
              </w:rPr>
              <w:t>equipos</w:t>
            </w:r>
            <w:r w:rsidRPr="00AD240D">
              <w:rPr>
                <w:rFonts w:cs="Arial"/>
                <w:lang w:val="es-ES"/>
              </w:rPr>
              <w:t xml:space="preserve"> de cómputo seleccionados del registro IMAM-010</w:t>
            </w:r>
            <w:r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b/>
                <w:lang w:val="es-ES"/>
              </w:rPr>
              <w:t xml:space="preserve">entre </w:t>
            </w:r>
            <w:r w:rsidRPr="00AD240D">
              <w:rPr>
                <w:rFonts w:cs="Arial"/>
                <w:lang w:val="es-ES"/>
              </w:rPr>
              <w:t xml:space="preserve">Inventario </w:t>
            </w:r>
            <w:r>
              <w:rPr>
                <w:rFonts w:cs="Arial"/>
                <w:lang w:val="es-ES"/>
              </w:rPr>
              <w:t>de la Unidad</w:t>
            </w:r>
            <w:r w:rsidRPr="00AD240D">
              <w:rPr>
                <w:rFonts w:cs="Arial"/>
                <w:lang w:val="es-ES"/>
              </w:rPr>
              <w:t xml:space="preserve"> por 100</w:t>
            </w:r>
          </w:p>
        </w:tc>
        <w:tc>
          <w:tcPr>
            <w:tcW w:w="1984" w:type="dxa"/>
            <w:vAlign w:val="center"/>
          </w:tcPr>
          <w:p w:rsidR="00602F0E" w:rsidRPr="00F544FC" w:rsidRDefault="00602F0E" w:rsidP="00602F0E">
            <w:pPr>
              <w:jc w:val="left"/>
            </w:pPr>
            <w:r w:rsidRPr="00AD240D">
              <w:rPr>
                <w:rFonts w:cs="Arial"/>
                <w:iCs/>
                <w:lang w:val="pt-BR"/>
              </w:rPr>
              <w:t>Reporte de</w:t>
            </w:r>
            <w:r w:rsidRPr="00AD240D">
              <w:rPr>
                <w:rFonts w:cs="Arial"/>
                <w:lang w:val="es-ES"/>
              </w:rPr>
              <w:t xml:space="preserve"> IMAM-010. (PC´s, </w:t>
            </w:r>
            <w:r>
              <w:rPr>
                <w:rFonts w:cs="Arial"/>
                <w:lang w:val="es-ES"/>
              </w:rPr>
              <w:t>impresoras</w:t>
            </w:r>
            <w:r w:rsidRPr="00AD240D">
              <w:rPr>
                <w:rFonts w:cs="Arial"/>
                <w:lang w:val="es-ES"/>
              </w:rPr>
              <w:t xml:space="preserve"> y </w:t>
            </w:r>
            <w:r>
              <w:rPr>
                <w:rFonts w:cs="Arial"/>
                <w:lang w:val="es-ES"/>
              </w:rPr>
              <w:t>Computadoras portátiles</w:t>
            </w:r>
            <w:r w:rsidRPr="00AD240D">
              <w:rPr>
                <w:rFonts w:cs="Arial"/>
                <w:lang w:val="es-ES"/>
              </w:rPr>
              <w:t xml:space="preserve">). En caso de no contar con el mismo, utilizar el último inventario generado por </w:t>
            </w:r>
            <w:r>
              <w:rPr>
                <w:rFonts w:cs="Arial"/>
                <w:lang w:val="es-ES"/>
              </w:rPr>
              <w:t>la Unidad.</w:t>
            </w:r>
          </w:p>
        </w:tc>
        <w:tc>
          <w:tcPr>
            <w:tcW w:w="851" w:type="dxa"/>
            <w:vAlign w:val="center"/>
          </w:tcPr>
          <w:p w:rsidR="00602F0E" w:rsidRPr="00F544FC" w:rsidRDefault="00602F0E" w:rsidP="00602F0E">
            <w:pPr>
              <w:jc w:val="left"/>
            </w:pPr>
            <w:r w:rsidRPr="00AD240D">
              <w:rPr>
                <w:rFonts w:cs="Arial"/>
                <w:noProof/>
              </w:rPr>
              <w:t>90%</w:t>
            </w:r>
            <w:r>
              <w:rPr>
                <w:rFonts w:cs="Arial"/>
                <w:noProof/>
              </w:rPr>
              <w:t xml:space="preserve"> </w:t>
            </w:r>
            <w:r w:rsidRPr="00AD240D">
              <w:rPr>
                <w:rFonts w:cs="Arial"/>
                <w:noProof/>
              </w:rPr>
              <w:t>-</w:t>
            </w:r>
            <w:r>
              <w:rPr>
                <w:rFonts w:cs="Arial"/>
                <w:noProof/>
              </w:rPr>
              <w:t xml:space="preserve"> </w:t>
            </w:r>
            <w:r w:rsidRPr="00AD240D">
              <w:rPr>
                <w:rFonts w:cs="Arial"/>
                <w:noProof/>
              </w:rPr>
              <w:t>100%</w:t>
            </w:r>
          </w:p>
        </w:tc>
        <w:tc>
          <w:tcPr>
            <w:tcW w:w="992" w:type="dxa"/>
            <w:vAlign w:val="center"/>
          </w:tcPr>
          <w:p w:rsidR="00602F0E" w:rsidRPr="00F544FC" w:rsidRDefault="00602F0E" w:rsidP="00602F0E">
            <w:pPr>
              <w:jc w:val="left"/>
            </w:pPr>
            <w:r w:rsidRPr="00AD240D">
              <w:rPr>
                <w:rFonts w:cs="Arial"/>
              </w:rPr>
              <w:t>80%</w:t>
            </w:r>
            <w:r>
              <w:rPr>
                <w:rFonts w:cs="Arial"/>
              </w:rPr>
              <w:t xml:space="preserve"> </w:t>
            </w:r>
            <w:r w:rsidRPr="00AD240D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Pr="00AD240D">
              <w:rPr>
                <w:rFonts w:cs="Arial"/>
              </w:rPr>
              <w:t>89%</w:t>
            </w:r>
          </w:p>
        </w:tc>
        <w:tc>
          <w:tcPr>
            <w:tcW w:w="992" w:type="dxa"/>
            <w:vAlign w:val="center"/>
          </w:tcPr>
          <w:p w:rsidR="00602F0E" w:rsidRPr="00F544FC" w:rsidRDefault="00602F0E" w:rsidP="00602F0E">
            <w:pPr>
              <w:jc w:val="left"/>
            </w:pPr>
            <w:r w:rsidRPr="00AD240D">
              <w:rPr>
                <w:rFonts w:cs="Arial"/>
              </w:rPr>
              <w:t>0%</w:t>
            </w:r>
            <w:r>
              <w:rPr>
                <w:rFonts w:cs="Arial"/>
              </w:rPr>
              <w:t xml:space="preserve"> </w:t>
            </w:r>
            <w:r w:rsidRPr="00AD240D">
              <w:rPr>
                <w:rFonts w:cs="Arial"/>
              </w:rPr>
              <w:t>-</w:t>
            </w:r>
            <w:r>
              <w:rPr>
                <w:rFonts w:cs="Arial"/>
              </w:rPr>
              <w:t xml:space="preserve"> </w:t>
            </w:r>
            <w:r w:rsidRPr="00AD240D">
              <w:rPr>
                <w:rFonts w:cs="Arial"/>
              </w:rPr>
              <w:t>79%</w:t>
            </w:r>
          </w:p>
        </w:tc>
        <w:tc>
          <w:tcPr>
            <w:tcW w:w="2977" w:type="dxa"/>
            <w:vAlign w:val="center"/>
          </w:tcPr>
          <w:p w:rsidR="00602F0E" w:rsidRPr="003715ED" w:rsidRDefault="00602F0E" w:rsidP="00602F0E">
            <w:pPr>
              <w:jc w:val="left"/>
            </w:pPr>
            <w:r w:rsidRPr="00AD240D">
              <w:rPr>
                <w:rFonts w:cs="Arial"/>
              </w:rPr>
              <w:t xml:space="preserve">Se realiza en </w:t>
            </w:r>
            <w:r>
              <w:rPr>
                <w:rFonts w:cs="Arial"/>
              </w:rPr>
              <w:t>la Unidad</w:t>
            </w:r>
            <w:r w:rsidRPr="00AD240D">
              <w:rPr>
                <w:rFonts w:cs="Arial"/>
              </w:rPr>
              <w:t xml:space="preserve"> donde se efectué la evaluación y con la participación del </w:t>
            </w:r>
            <w:r>
              <w:rPr>
                <w:rFonts w:cs="Arial"/>
              </w:rPr>
              <w:t>personal de Soporte Técnico.  Se identifica el área y cantidad de equipos a evaluar y se determina si el equipo está en funcionamiento y en operación ejecutando algún programa en la PC el cual debe tener una operación normal.</w:t>
            </w:r>
          </w:p>
        </w:tc>
      </w:tr>
    </w:tbl>
    <w:p w:rsidR="00802899" w:rsidRDefault="00802899" w:rsidP="00802899">
      <w:pPr>
        <w:pStyle w:val="Ttulo1"/>
      </w:pPr>
      <w:r>
        <w:t>Análisis de 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8"/>
        <w:gridCol w:w="3498"/>
      </w:tblGrid>
      <w:tr w:rsidR="00802899" w:rsidRPr="003715ED" w:rsidTr="00802899">
        <w:tc>
          <w:tcPr>
            <w:tcW w:w="3498" w:type="dxa"/>
          </w:tcPr>
          <w:p w:rsidR="00802899" w:rsidRPr="00802899" w:rsidRDefault="00802899" w:rsidP="002F3699">
            <w:r w:rsidRPr="00802899">
              <w:t>Técnicas</w:t>
            </w:r>
          </w:p>
        </w:tc>
        <w:tc>
          <w:tcPr>
            <w:tcW w:w="3498" w:type="dxa"/>
          </w:tcPr>
          <w:p w:rsidR="00802899" w:rsidRPr="00802899" w:rsidRDefault="00802899" w:rsidP="002F3699">
            <w:r w:rsidRPr="00802899">
              <w:t>Financieras</w:t>
            </w:r>
          </w:p>
        </w:tc>
        <w:tc>
          <w:tcPr>
            <w:tcW w:w="3498" w:type="dxa"/>
          </w:tcPr>
          <w:p w:rsidR="00802899" w:rsidRPr="00802899" w:rsidRDefault="00802899" w:rsidP="002F3699">
            <w:r w:rsidRPr="00802899">
              <w:t>Recursos Humanos</w:t>
            </w:r>
          </w:p>
        </w:tc>
        <w:tc>
          <w:tcPr>
            <w:tcW w:w="3498" w:type="dxa"/>
          </w:tcPr>
          <w:p w:rsidR="00802899" w:rsidRPr="003715ED" w:rsidRDefault="00802899" w:rsidP="002F3699">
            <w:r w:rsidRPr="00802899">
              <w:t>Administrativas</w:t>
            </w:r>
          </w:p>
        </w:tc>
      </w:tr>
      <w:tr w:rsidR="00802899" w:rsidRPr="003715ED" w:rsidTr="00802899">
        <w:tc>
          <w:tcPr>
            <w:tcW w:w="3498" w:type="dxa"/>
          </w:tcPr>
          <w:p w:rsidR="00802899" w:rsidRPr="00802899" w:rsidRDefault="0000691E" w:rsidP="002F3699">
            <w:r>
              <w:t>Equipos de cómputo e impresoras obsoletos con una antigüedad mayor de 5 años.</w:t>
            </w:r>
          </w:p>
        </w:tc>
        <w:tc>
          <w:tcPr>
            <w:tcW w:w="3498" w:type="dxa"/>
          </w:tcPr>
          <w:p w:rsidR="00802899" w:rsidRPr="00802899" w:rsidRDefault="0000691E" w:rsidP="002F3699">
            <w:r>
              <w:t>Presupuesto insuficiente para realizar la reparación de equipos de cómputo e impresoras.</w:t>
            </w:r>
          </w:p>
        </w:tc>
        <w:tc>
          <w:tcPr>
            <w:tcW w:w="3498" w:type="dxa"/>
          </w:tcPr>
          <w:p w:rsidR="00802899" w:rsidRPr="00802899" w:rsidRDefault="0000691E" w:rsidP="002F3699">
            <w:r>
              <w:t xml:space="preserve">Personal Técnico no calificado para diagnosticar y atender los </w:t>
            </w:r>
            <w:r>
              <w:lastRenderedPageBreak/>
              <w:t>incidentes en equipos de cómputo e impresoras.</w:t>
            </w:r>
          </w:p>
        </w:tc>
        <w:tc>
          <w:tcPr>
            <w:tcW w:w="3498" w:type="dxa"/>
          </w:tcPr>
          <w:p w:rsidR="00802899" w:rsidRPr="00802899" w:rsidRDefault="00863617" w:rsidP="00863617">
            <w:r>
              <w:lastRenderedPageBreak/>
              <w:t xml:space="preserve">Falta de información y confianza en los inventarios de </w:t>
            </w:r>
            <w:r>
              <w:lastRenderedPageBreak/>
              <w:t>infraestructura informática de la Unidad.</w:t>
            </w:r>
          </w:p>
        </w:tc>
      </w:tr>
    </w:tbl>
    <w:p w:rsidR="00802899" w:rsidRDefault="00802899" w:rsidP="00802899">
      <w:pPr>
        <w:pStyle w:val="Ttulo1"/>
      </w:pPr>
      <w:r>
        <w:lastRenderedPageBreak/>
        <w:t xml:space="preserve">Principales riesgos al implementar la </w:t>
      </w:r>
      <w:r w:rsidR="001A4256">
        <w:t>estrategia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2"/>
        <w:gridCol w:w="2332"/>
      </w:tblGrid>
      <w:tr w:rsidR="00802899" w:rsidRPr="003715ED" w:rsidTr="00802899">
        <w:tc>
          <w:tcPr>
            <w:tcW w:w="2332" w:type="dxa"/>
          </w:tcPr>
          <w:p w:rsidR="00802899" w:rsidRPr="00802899" w:rsidRDefault="001A4256" w:rsidP="002F3699">
            <w:r w:rsidRPr="00802899">
              <w:t>Estrategia</w:t>
            </w:r>
          </w:p>
        </w:tc>
        <w:tc>
          <w:tcPr>
            <w:tcW w:w="2332" w:type="dxa"/>
          </w:tcPr>
          <w:p w:rsidR="00802899" w:rsidRPr="00802899" w:rsidRDefault="00802899" w:rsidP="002F3699">
            <w:r w:rsidRPr="00802899">
              <w:t>Puntos de Control</w:t>
            </w:r>
          </w:p>
        </w:tc>
        <w:tc>
          <w:tcPr>
            <w:tcW w:w="2332" w:type="dxa"/>
          </w:tcPr>
          <w:p w:rsidR="00802899" w:rsidRPr="00802899" w:rsidRDefault="00802899" w:rsidP="002F3699">
            <w:r w:rsidRPr="00802899">
              <w:t>Variable que se puede medir</w:t>
            </w:r>
          </w:p>
        </w:tc>
        <w:tc>
          <w:tcPr>
            <w:tcW w:w="2332" w:type="dxa"/>
          </w:tcPr>
          <w:p w:rsidR="00802899" w:rsidRPr="00802899" w:rsidRDefault="001A4256" w:rsidP="002F3699">
            <w:r w:rsidRPr="00802899">
              <w:t>Posible</w:t>
            </w:r>
            <w:r w:rsidR="00802899" w:rsidRPr="00802899">
              <w:t xml:space="preserve"> riesgo</w:t>
            </w:r>
          </w:p>
        </w:tc>
        <w:tc>
          <w:tcPr>
            <w:tcW w:w="2332" w:type="dxa"/>
          </w:tcPr>
          <w:p w:rsidR="00802899" w:rsidRPr="00802899" w:rsidRDefault="00802899" w:rsidP="002F3699">
            <w:r w:rsidRPr="00802899">
              <w:t>Fuente de incertidumbre</w:t>
            </w:r>
          </w:p>
        </w:tc>
        <w:tc>
          <w:tcPr>
            <w:tcW w:w="2332" w:type="dxa"/>
          </w:tcPr>
          <w:p w:rsidR="00802899" w:rsidRPr="003715ED" w:rsidRDefault="00802899" w:rsidP="002F3699">
            <w:r>
              <w:t>F</w:t>
            </w:r>
            <w:r w:rsidRPr="00802899">
              <w:t>actores de riesgo</w:t>
            </w:r>
          </w:p>
        </w:tc>
      </w:tr>
      <w:tr w:rsidR="00802899" w:rsidRPr="003715ED" w:rsidTr="00802899">
        <w:tc>
          <w:tcPr>
            <w:tcW w:w="2332" w:type="dxa"/>
          </w:tcPr>
          <w:p w:rsidR="00802899" w:rsidRPr="00802899" w:rsidRDefault="00863617" w:rsidP="002F3699">
            <w:r>
              <w:t>Garantizar el f</w:t>
            </w:r>
            <w:r w:rsidRPr="00E75540">
              <w:t xml:space="preserve">uncionamiento de </w:t>
            </w:r>
            <w:r>
              <w:t xml:space="preserve">los </w:t>
            </w:r>
            <w:r w:rsidRPr="00E75540">
              <w:t>equipos de cómputo Institucional</w:t>
            </w:r>
            <w:r>
              <w:t>es</w:t>
            </w:r>
            <w:r w:rsidRPr="00E75540">
              <w:t xml:space="preserve"> (PC´s, impresoras y </w:t>
            </w:r>
            <w:r>
              <w:t>Laptops)</w:t>
            </w:r>
          </w:p>
        </w:tc>
        <w:tc>
          <w:tcPr>
            <w:tcW w:w="2332" w:type="dxa"/>
          </w:tcPr>
          <w:p w:rsidR="00802899" w:rsidRPr="00802899" w:rsidRDefault="00E92853" w:rsidP="002F3699">
            <w:r>
              <w:t>I</w:t>
            </w:r>
            <w:r w:rsidR="00863617">
              <w:t xml:space="preserve">nventario de </w:t>
            </w:r>
            <w:r w:rsidR="001A4256">
              <w:t>infraestructura</w:t>
            </w:r>
            <w:r w:rsidR="00863617">
              <w:t xml:space="preserve"> informática confiable y </w:t>
            </w:r>
            <w:r w:rsidR="001A4256">
              <w:t>actualizada</w:t>
            </w:r>
            <w:r w:rsidR="00863617">
              <w:t>.</w:t>
            </w:r>
          </w:p>
        </w:tc>
        <w:tc>
          <w:tcPr>
            <w:tcW w:w="2332" w:type="dxa"/>
          </w:tcPr>
          <w:p w:rsidR="00802899" w:rsidRPr="00802899" w:rsidRDefault="00863617" w:rsidP="002F3699">
            <w:r>
              <w:t>Total de equipos existentes vs Total de equipos en inventario</w:t>
            </w:r>
          </w:p>
        </w:tc>
        <w:tc>
          <w:tcPr>
            <w:tcW w:w="2332" w:type="dxa"/>
          </w:tcPr>
          <w:p w:rsidR="00802899" w:rsidRPr="00802899" w:rsidRDefault="00863617" w:rsidP="002F3699">
            <w:r>
              <w:t>Inventario desactualizado</w:t>
            </w:r>
          </w:p>
        </w:tc>
        <w:tc>
          <w:tcPr>
            <w:tcW w:w="2332" w:type="dxa"/>
          </w:tcPr>
          <w:p w:rsidR="00802899" w:rsidRPr="00802899" w:rsidRDefault="00E92853" w:rsidP="00E92853">
            <w:r>
              <w:t>Alto nivel de obsolescencia en el inventario y pocos equipos físicos en la Unidad.</w:t>
            </w:r>
          </w:p>
        </w:tc>
        <w:tc>
          <w:tcPr>
            <w:tcW w:w="2332" w:type="dxa"/>
          </w:tcPr>
          <w:p w:rsidR="00802899" w:rsidRDefault="00863617" w:rsidP="00863617">
            <w:r>
              <w:t xml:space="preserve">Movimiento </w:t>
            </w:r>
            <w:r>
              <w:t xml:space="preserve">o baja </w:t>
            </w:r>
            <w:r>
              <w:t>de equipos</w:t>
            </w:r>
            <w:r>
              <w:t xml:space="preserve"> sin notificación a la Coordinación de Informática.</w:t>
            </w:r>
          </w:p>
        </w:tc>
      </w:tr>
    </w:tbl>
    <w:p w:rsidR="00227115" w:rsidRDefault="00227115" w:rsidP="00227115">
      <w:pPr>
        <w:pStyle w:val="Ttulo1"/>
      </w:pPr>
      <w:r>
        <w:t>Mapa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1999"/>
        <w:gridCol w:w="1999"/>
        <w:gridCol w:w="1999"/>
        <w:gridCol w:w="1999"/>
        <w:gridCol w:w="1999"/>
        <w:gridCol w:w="1999"/>
      </w:tblGrid>
      <w:tr w:rsidR="00227115" w:rsidRPr="00227115" w:rsidTr="002F3699">
        <w:tc>
          <w:tcPr>
            <w:tcW w:w="1998" w:type="dxa"/>
            <w:vMerge w:val="restart"/>
          </w:tcPr>
          <w:p w:rsidR="00227115" w:rsidRPr="00227115" w:rsidRDefault="001A4256" w:rsidP="00227115">
            <w:pPr>
              <w:jc w:val="center"/>
            </w:pPr>
            <w:r w:rsidRPr="00227115">
              <w:t>Estrategia</w:t>
            </w:r>
          </w:p>
        </w:tc>
        <w:tc>
          <w:tcPr>
            <w:tcW w:w="1999" w:type="dxa"/>
            <w:vMerge w:val="restart"/>
          </w:tcPr>
          <w:p w:rsidR="00227115" w:rsidRPr="00227115" w:rsidRDefault="00227115" w:rsidP="00227115">
            <w:pPr>
              <w:jc w:val="center"/>
            </w:pPr>
            <w:r w:rsidRPr="00227115">
              <w:t>Riesgo</w:t>
            </w:r>
          </w:p>
        </w:tc>
        <w:tc>
          <w:tcPr>
            <w:tcW w:w="9995" w:type="dxa"/>
            <w:gridSpan w:val="5"/>
          </w:tcPr>
          <w:p w:rsidR="00227115" w:rsidRPr="00227115" w:rsidRDefault="00227115" w:rsidP="00227115">
            <w:pPr>
              <w:jc w:val="center"/>
            </w:pPr>
            <w:r>
              <w:t>Evaluación de cada riesgo</w:t>
            </w:r>
          </w:p>
        </w:tc>
      </w:tr>
      <w:tr w:rsidR="00227115" w:rsidRPr="00227115" w:rsidTr="002F3699">
        <w:tc>
          <w:tcPr>
            <w:tcW w:w="1998" w:type="dxa"/>
            <w:vMerge/>
          </w:tcPr>
          <w:p w:rsidR="00227115" w:rsidRPr="00227115" w:rsidRDefault="00227115" w:rsidP="00227115">
            <w:pPr>
              <w:jc w:val="center"/>
            </w:pPr>
          </w:p>
        </w:tc>
        <w:tc>
          <w:tcPr>
            <w:tcW w:w="1999" w:type="dxa"/>
            <w:vMerge/>
          </w:tcPr>
          <w:p w:rsidR="00227115" w:rsidRPr="00227115" w:rsidRDefault="00227115" w:rsidP="00227115">
            <w:pPr>
              <w:jc w:val="center"/>
            </w:pPr>
          </w:p>
        </w:tc>
        <w:tc>
          <w:tcPr>
            <w:tcW w:w="3998" w:type="dxa"/>
            <w:gridSpan w:val="2"/>
          </w:tcPr>
          <w:p w:rsidR="00227115" w:rsidRPr="00227115" w:rsidRDefault="00227115" w:rsidP="00227115">
            <w:pPr>
              <w:jc w:val="center"/>
            </w:pPr>
            <w:r>
              <w:t>Impacto</w:t>
            </w:r>
          </w:p>
        </w:tc>
        <w:tc>
          <w:tcPr>
            <w:tcW w:w="3998" w:type="dxa"/>
            <w:gridSpan w:val="2"/>
          </w:tcPr>
          <w:p w:rsidR="00227115" w:rsidRPr="00227115" w:rsidRDefault="00227115" w:rsidP="00227115">
            <w:pPr>
              <w:jc w:val="center"/>
            </w:pPr>
            <w:r>
              <w:t>Probabilidad</w:t>
            </w:r>
          </w:p>
        </w:tc>
        <w:tc>
          <w:tcPr>
            <w:tcW w:w="1999" w:type="dxa"/>
          </w:tcPr>
          <w:p w:rsidR="00227115" w:rsidRPr="00227115" w:rsidRDefault="00227115" w:rsidP="00227115">
            <w:pPr>
              <w:jc w:val="center"/>
            </w:pPr>
            <w:r>
              <w:t>Importancia</w:t>
            </w:r>
          </w:p>
        </w:tc>
      </w:tr>
      <w:tr w:rsidR="00227115" w:rsidRPr="00227115" w:rsidTr="00227115">
        <w:tc>
          <w:tcPr>
            <w:tcW w:w="1998" w:type="dxa"/>
            <w:vMerge/>
          </w:tcPr>
          <w:p w:rsidR="00227115" w:rsidRPr="00227115" w:rsidRDefault="00227115" w:rsidP="00227115">
            <w:pPr>
              <w:jc w:val="center"/>
            </w:pPr>
          </w:p>
        </w:tc>
        <w:tc>
          <w:tcPr>
            <w:tcW w:w="1999" w:type="dxa"/>
            <w:vMerge/>
          </w:tcPr>
          <w:p w:rsidR="00227115" w:rsidRPr="00227115" w:rsidRDefault="00227115" w:rsidP="00227115">
            <w:pPr>
              <w:jc w:val="center"/>
            </w:pPr>
          </w:p>
        </w:tc>
        <w:tc>
          <w:tcPr>
            <w:tcW w:w="1999" w:type="dxa"/>
          </w:tcPr>
          <w:p w:rsidR="00227115" w:rsidRPr="00227115" w:rsidRDefault="00227115" w:rsidP="00227115">
            <w:pPr>
              <w:jc w:val="center"/>
            </w:pPr>
            <w:r w:rsidRPr="00227115">
              <w:t>Consecuencia en caso de materializarse el riesgo</w:t>
            </w:r>
          </w:p>
        </w:tc>
        <w:tc>
          <w:tcPr>
            <w:tcW w:w="1999" w:type="dxa"/>
          </w:tcPr>
          <w:p w:rsidR="00227115" w:rsidRPr="00227115" w:rsidRDefault="00227115" w:rsidP="00227115">
            <w:pPr>
              <w:jc w:val="center"/>
            </w:pPr>
            <w:r w:rsidRPr="00227115">
              <w:t>Valor</w:t>
            </w:r>
          </w:p>
        </w:tc>
        <w:tc>
          <w:tcPr>
            <w:tcW w:w="1999" w:type="dxa"/>
          </w:tcPr>
          <w:p w:rsidR="00227115" w:rsidRPr="00227115" w:rsidRDefault="00F23F30" w:rsidP="00227115">
            <w:pPr>
              <w:jc w:val="center"/>
            </w:pPr>
            <w:r>
              <w:t>Consideraciones</w:t>
            </w:r>
            <w:r w:rsidR="00227115" w:rsidRPr="00227115">
              <w:t xml:space="preserve"> para determinar la probabilidad</w:t>
            </w:r>
          </w:p>
        </w:tc>
        <w:tc>
          <w:tcPr>
            <w:tcW w:w="1999" w:type="dxa"/>
          </w:tcPr>
          <w:p w:rsidR="00227115" w:rsidRPr="00227115" w:rsidRDefault="00227115" w:rsidP="00227115">
            <w:pPr>
              <w:jc w:val="center"/>
            </w:pPr>
            <w:r w:rsidRPr="00227115">
              <w:t>Valor</w:t>
            </w:r>
          </w:p>
        </w:tc>
        <w:tc>
          <w:tcPr>
            <w:tcW w:w="1999" w:type="dxa"/>
          </w:tcPr>
          <w:p w:rsidR="00227115" w:rsidRPr="00227115" w:rsidRDefault="00227115" w:rsidP="00227115">
            <w:pPr>
              <w:jc w:val="center"/>
            </w:pPr>
            <w:r w:rsidRPr="00227115">
              <w:t>Valor</w:t>
            </w:r>
          </w:p>
        </w:tc>
      </w:tr>
      <w:tr w:rsidR="00202EA1" w:rsidRPr="00227115" w:rsidTr="00F23F30">
        <w:tc>
          <w:tcPr>
            <w:tcW w:w="1998" w:type="dxa"/>
            <w:vMerge w:val="restart"/>
            <w:vAlign w:val="center"/>
          </w:tcPr>
          <w:p w:rsidR="00202EA1" w:rsidRPr="00802899" w:rsidRDefault="00202EA1" w:rsidP="00F85254">
            <w:pPr>
              <w:jc w:val="left"/>
            </w:pPr>
            <w:r>
              <w:t>Garantizar el f</w:t>
            </w:r>
            <w:r w:rsidRPr="00E75540">
              <w:t xml:space="preserve">uncionamiento de </w:t>
            </w:r>
            <w:r>
              <w:t xml:space="preserve">los </w:t>
            </w:r>
            <w:r w:rsidRPr="00E75540">
              <w:t xml:space="preserve">equipos de cómputo </w:t>
            </w:r>
            <w:r w:rsidRPr="00E75540">
              <w:lastRenderedPageBreak/>
              <w:t>Institucional</w:t>
            </w:r>
            <w:r>
              <w:t>es</w:t>
            </w:r>
            <w:r w:rsidRPr="00E75540">
              <w:t xml:space="preserve"> (PC´s, impresoras y </w:t>
            </w:r>
            <w:r>
              <w:t>Laptops)</w:t>
            </w:r>
          </w:p>
        </w:tc>
        <w:tc>
          <w:tcPr>
            <w:tcW w:w="1999" w:type="dxa"/>
            <w:vAlign w:val="center"/>
          </w:tcPr>
          <w:p w:rsidR="00202EA1" w:rsidRPr="00227115" w:rsidRDefault="006630B1" w:rsidP="006630B1">
            <w:r>
              <w:lastRenderedPageBreak/>
              <w:t xml:space="preserve">1. </w:t>
            </w:r>
            <w:r w:rsidR="00202EA1">
              <w:t>Falta de personal responsable de</w:t>
            </w:r>
            <w:r>
              <w:t>signado para</w:t>
            </w:r>
            <w:r w:rsidR="00202EA1">
              <w:t xml:space="preserve"> la </w:t>
            </w:r>
            <w:r w:rsidR="00202EA1">
              <w:lastRenderedPageBreak/>
              <w:t>administración de bienes de infraestructura informática</w:t>
            </w:r>
          </w:p>
        </w:tc>
        <w:tc>
          <w:tcPr>
            <w:tcW w:w="1999" w:type="dxa"/>
            <w:vAlign w:val="center"/>
          </w:tcPr>
          <w:p w:rsidR="00202EA1" w:rsidRPr="00227115" w:rsidRDefault="00202EA1" w:rsidP="00202EA1">
            <w:r>
              <w:lastRenderedPageBreak/>
              <w:t>Faltante o robo de equipos de cómputo e impresoras.</w:t>
            </w:r>
          </w:p>
        </w:tc>
        <w:tc>
          <w:tcPr>
            <w:tcW w:w="1999" w:type="dxa"/>
            <w:vAlign w:val="center"/>
          </w:tcPr>
          <w:p w:rsidR="00202EA1" w:rsidRPr="00227115" w:rsidRDefault="00202EA1" w:rsidP="00202EA1">
            <w:pPr>
              <w:jc w:val="center"/>
            </w:pPr>
            <w:r>
              <w:t>7</w:t>
            </w:r>
          </w:p>
        </w:tc>
        <w:tc>
          <w:tcPr>
            <w:tcW w:w="1999" w:type="dxa"/>
            <w:vAlign w:val="center"/>
          </w:tcPr>
          <w:p w:rsidR="00202EA1" w:rsidRPr="00227115" w:rsidRDefault="00F23F30" w:rsidP="00F23F30">
            <w:r>
              <w:t xml:space="preserve">Usuarios que solicitan un equipo de cómputo o </w:t>
            </w:r>
            <w:r>
              <w:lastRenderedPageBreak/>
              <w:t>impresora para operar.</w:t>
            </w:r>
          </w:p>
        </w:tc>
        <w:tc>
          <w:tcPr>
            <w:tcW w:w="1999" w:type="dxa"/>
            <w:vAlign w:val="center"/>
          </w:tcPr>
          <w:p w:rsidR="00202EA1" w:rsidRPr="00227115" w:rsidRDefault="00F23F30" w:rsidP="00F23F30">
            <w:pPr>
              <w:jc w:val="center"/>
            </w:pPr>
            <w:r>
              <w:lastRenderedPageBreak/>
              <w:t>4</w:t>
            </w:r>
          </w:p>
        </w:tc>
        <w:tc>
          <w:tcPr>
            <w:tcW w:w="1999" w:type="dxa"/>
            <w:vAlign w:val="center"/>
          </w:tcPr>
          <w:p w:rsidR="00202EA1" w:rsidRPr="00227115" w:rsidRDefault="00F23F30" w:rsidP="00F23F30">
            <w:pPr>
              <w:jc w:val="center"/>
            </w:pPr>
            <w:r>
              <w:t>8</w:t>
            </w:r>
          </w:p>
        </w:tc>
      </w:tr>
      <w:tr w:rsidR="00202EA1" w:rsidRPr="00227115" w:rsidTr="00F23F30">
        <w:tc>
          <w:tcPr>
            <w:tcW w:w="1998" w:type="dxa"/>
            <w:vMerge/>
            <w:vAlign w:val="center"/>
          </w:tcPr>
          <w:p w:rsidR="00202EA1" w:rsidRDefault="00202EA1" w:rsidP="00F85254">
            <w:pPr>
              <w:jc w:val="left"/>
            </w:pPr>
          </w:p>
        </w:tc>
        <w:tc>
          <w:tcPr>
            <w:tcW w:w="1999" w:type="dxa"/>
            <w:vAlign w:val="center"/>
          </w:tcPr>
          <w:p w:rsidR="00202EA1" w:rsidRDefault="006630B1" w:rsidP="006630B1">
            <w:r>
              <w:t xml:space="preserve">2. </w:t>
            </w:r>
            <w:r w:rsidR="00202EA1">
              <w:t>Poca o nula supervisión a los procedimientos para la administración de bienes de infraestructura informática</w:t>
            </w:r>
          </w:p>
        </w:tc>
        <w:tc>
          <w:tcPr>
            <w:tcW w:w="1999" w:type="dxa"/>
            <w:vAlign w:val="center"/>
          </w:tcPr>
          <w:p w:rsidR="00202EA1" w:rsidRPr="00227115" w:rsidRDefault="00F23F30" w:rsidP="00202EA1">
            <w:r>
              <w:t>Inventario desactualizado y faltantes de equipos.</w:t>
            </w:r>
          </w:p>
        </w:tc>
        <w:tc>
          <w:tcPr>
            <w:tcW w:w="1999" w:type="dxa"/>
            <w:vAlign w:val="center"/>
          </w:tcPr>
          <w:p w:rsidR="00202EA1" w:rsidRPr="00227115" w:rsidRDefault="00F23F30" w:rsidP="00202EA1">
            <w:pPr>
              <w:jc w:val="center"/>
            </w:pPr>
            <w:r>
              <w:t>3</w:t>
            </w:r>
          </w:p>
        </w:tc>
        <w:tc>
          <w:tcPr>
            <w:tcW w:w="1999" w:type="dxa"/>
            <w:vAlign w:val="center"/>
          </w:tcPr>
          <w:p w:rsidR="00202EA1" w:rsidRPr="00227115" w:rsidRDefault="00F23F30" w:rsidP="00F23F30">
            <w:r>
              <w:t xml:space="preserve">Confrontas </w:t>
            </w:r>
            <w:r w:rsidR="001A4256">
              <w:t>físicas</w:t>
            </w:r>
            <w:r>
              <w:t xml:space="preserve"> de bienes contra inventarios con más de 6 meses sin realizar.</w:t>
            </w:r>
          </w:p>
        </w:tc>
        <w:tc>
          <w:tcPr>
            <w:tcW w:w="1999" w:type="dxa"/>
            <w:vAlign w:val="center"/>
          </w:tcPr>
          <w:p w:rsidR="00202EA1" w:rsidRPr="00227115" w:rsidRDefault="00F23F30" w:rsidP="00F23F30">
            <w:pPr>
              <w:jc w:val="center"/>
            </w:pPr>
            <w:r>
              <w:t>6</w:t>
            </w:r>
          </w:p>
        </w:tc>
        <w:tc>
          <w:tcPr>
            <w:tcW w:w="1999" w:type="dxa"/>
            <w:vAlign w:val="center"/>
          </w:tcPr>
          <w:p w:rsidR="00202EA1" w:rsidRPr="00227115" w:rsidRDefault="00F23F30" w:rsidP="00F23F30">
            <w:pPr>
              <w:jc w:val="center"/>
            </w:pPr>
            <w:r>
              <w:t>2</w:t>
            </w:r>
          </w:p>
        </w:tc>
      </w:tr>
    </w:tbl>
    <w:p w:rsidR="00F23F30" w:rsidRDefault="00E71F2D" w:rsidP="00F23F30">
      <w:pPr>
        <w:pStyle w:val="Ttulo1"/>
      </w:pPr>
      <w:r>
        <w:t>M</w:t>
      </w:r>
      <w:r w:rsidR="00F23F30">
        <w:t>apa de Riesgos</w:t>
      </w:r>
    </w:p>
    <w:p w:rsidR="00227115" w:rsidRDefault="00E71F2D" w:rsidP="00E71F2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59F1D" wp14:editId="6B360C73">
                <wp:simplePos x="0" y="0"/>
                <wp:positionH relativeFrom="column">
                  <wp:posOffset>4595495</wp:posOffset>
                </wp:positionH>
                <wp:positionV relativeFrom="paragraph">
                  <wp:posOffset>1329690</wp:posOffset>
                </wp:positionV>
                <wp:extent cx="323850" cy="3048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0B1" w:rsidRPr="00E71F2D" w:rsidRDefault="006630B1" w:rsidP="006630B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E71F2D"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59F1D" id="Elipse 7" o:spid="_x0000_s1028" style="position:absolute;left:0;text-align:left;margin-left:361.85pt;margin-top:104.7pt;width:25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" fillcolor="red" strokecolor="#1f4d78 [1604]" strokeweight="1pt">
                <v:stroke joinstyle="miter"/>
                <v:textbox>
                  <w:txbxContent>
                    <w:p w:rsidR="006630B1" w:rsidRPr="00E71F2D" w:rsidRDefault="006630B1" w:rsidP="006630B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E71F2D">
                        <w:rPr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AC572" wp14:editId="78359C0C">
                <wp:simplePos x="0" y="0"/>
                <wp:positionH relativeFrom="column">
                  <wp:posOffset>4090670</wp:posOffset>
                </wp:positionH>
                <wp:positionV relativeFrom="paragraph">
                  <wp:posOffset>576580</wp:posOffset>
                </wp:positionV>
                <wp:extent cx="295275" cy="2762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0B1" w:rsidRPr="00E71F2D" w:rsidRDefault="006630B1" w:rsidP="00E71F2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E71F2D">
                              <w:rPr>
                                <w:b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AC572" id="Elipse 6" o:spid="_x0000_s1029" style="position:absolute;left:0;text-align:left;margin-left:322.1pt;margin-top:45.4pt;width:23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" fillcolor="#ffc000" strokecolor="#1f4d78 [1604]" strokeweight="1pt">
                <v:stroke joinstyle="miter"/>
                <v:textbox>
                  <w:txbxContent>
                    <w:p w:rsidR="006630B1" w:rsidRPr="00E71F2D" w:rsidRDefault="006630B1" w:rsidP="00E71F2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E71F2D">
                        <w:rPr>
                          <w:b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3F30">
        <w:rPr>
          <w:noProof/>
          <w:lang w:eastAsia="es-MX"/>
        </w:rPr>
        <w:drawing>
          <wp:inline distT="0" distB="0" distL="0" distR="0">
            <wp:extent cx="3142346" cy="235267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65" cy="240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551">
        <w:t xml:space="preserve">  </w:t>
      </w:r>
      <w:bookmarkStart w:id="0" w:name="_GoBack"/>
      <w:bookmarkEnd w:id="0"/>
    </w:p>
    <w:p w:rsidR="006630B1" w:rsidRDefault="006630B1" w:rsidP="006630B1">
      <w:pPr>
        <w:pStyle w:val="Ttulo1"/>
      </w:pPr>
      <w:r>
        <w:lastRenderedPageBreak/>
        <w:t>Plan de contingencia</w:t>
      </w:r>
    </w:p>
    <w:p w:rsidR="006630B1" w:rsidRPr="006630B1" w:rsidRDefault="001A4256" w:rsidP="006630B1">
      <w:r>
        <w:t>Estrategia</w:t>
      </w:r>
      <w:r w:rsidR="006630B1">
        <w:t xml:space="preserve">: </w:t>
      </w:r>
      <w:r w:rsidR="006630B1">
        <w:t>Garantizar el f</w:t>
      </w:r>
      <w:r w:rsidR="006630B1" w:rsidRPr="00E75540">
        <w:t xml:space="preserve">uncionamiento de </w:t>
      </w:r>
      <w:r w:rsidR="006630B1">
        <w:t xml:space="preserve">los </w:t>
      </w:r>
      <w:r w:rsidR="006630B1" w:rsidRPr="00E75540">
        <w:t>equipos de cómputo Institucional</w:t>
      </w:r>
      <w:r w:rsidR="006630B1">
        <w:t>es</w:t>
      </w:r>
      <w:r w:rsidR="006630B1" w:rsidRPr="00E75540">
        <w:t xml:space="preserve"> (PC´s, impresoras y </w:t>
      </w:r>
      <w:r w:rsidR="006630B1">
        <w:t>Laptops)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8"/>
        <w:gridCol w:w="2799"/>
        <w:gridCol w:w="2799"/>
      </w:tblGrid>
      <w:tr w:rsidR="006630B1" w:rsidRPr="006630B1" w:rsidTr="006630B1">
        <w:tc>
          <w:tcPr>
            <w:tcW w:w="2798" w:type="dxa"/>
          </w:tcPr>
          <w:p w:rsidR="006630B1" w:rsidRPr="006630B1" w:rsidRDefault="006630B1" w:rsidP="00F56EE2">
            <w:r w:rsidRPr="006630B1">
              <w:t>Indicador</w:t>
            </w:r>
          </w:p>
        </w:tc>
        <w:tc>
          <w:tcPr>
            <w:tcW w:w="2798" w:type="dxa"/>
          </w:tcPr>
          <w:p w:rsidR="006630B1" w:rsidRPr="006630B1" w:rsidRDefault="006630B1" w:rsidP="00F56EE2">
            <w:r w:rsidRPr="006630B1">
              <w:t>Riesgo</w:t>
            </w:r>
          </w:p>
        </w:tc>
        <w:tc>
          <w:tcPr>
            <w:tcW w:w="2798" w:type="dxa"/>
          </w:tcPr>
          <w:p w:rsidR="006630B1" w:rsidRPr="006630B1" w:rsidRDefault="006630B1" w:rsidP="00F56EE2">
            <w:r w:rsidRPr="006630B1">
              <w:t>Restricción</w:t>
            </w:r>
          </w:p>
        </w:tc>
        <w:tc>
          <w:tcPr>
            <w:tcW w:w="2799" w:type="dxa"/>
          </w:tcPr>
          <w:p w:rsidR="006630B1" w:rsidRPr="006630B1" w:rsidRDefault="006630B1" w:rsidP="00F56EE2">
            <w:r w:rsidRPr="006630B1">
              <w:t>Fuera de rango</w:t>
            </w:r>
          </w:p>
        </w:tc>
        <w:tc>
          <w:tcPr>
            <w:tcW w:w="2799" w:type="dxa"/>
          </w:tcPr>
          <w:p w:rsidR="006630B1" w:rsidRPr="006630B1" w:rsidRDefault="006630B1" w:rsidP="00F56EE2">
            <w:r w:rsidRPr="006630B1">
              <w:t>Plan de Contingencia</w:t>
            </w:r>
          </w:p>
        </w:tc>
      </w:tr>
      <w:tr w:rsidR="003132B2" w:rsidRPr="006630B1" w:rsidTr="003132B2">
        <w:tc>
          <w:tcPr>
            <w:tcW w:w="2798" w:type="dxa"/>
            <w:vMerge w:val="restart"/>
            <w:vAlign w:val="center"/>
          </w:tcPr>
          <w:p w:rsidR="003132B2" w:rsidRPr="006630B1" w:rsidRDefault="003132B2" w:rsidP="003132B2">
            <w:pPr>
              <w:jc w:val="left"/>
            </w:pPr>
            <w:r>
              <w:rPr>
                <w:rFonts w:cs="Arial"/>
              </w:rPr>
              <w:t>Inventario de i</w:t>
            </w:r>
            <w:r w:rsidRPr="00AD240D">
              <w:rPr>
                <w:rFonts w:cs="Arial"/>
              </w:rPr>
              <w:t xml:space="preserve">nfraestructura </w:t>
            </w:r>
            <w:r>
              <w:rPr>
                <w:rFonts w:cs="Arial"/>
              </w:rPr>
              <w:t>i</w:t>
            </w:r>
            <w:r w:rsidRPr="00AD240D">
              <w:rPr>
                <w:rFonts w:cs="Arial"/>
              </w:rPr>
              <w:t>nformática</w:t>
            </w:r>
            <w:r>
              <w:rPr>
                <w:rFonts w:cs="Arial"/>
              </w:rPr>
              <w:t>.</w:t>
            </w:r>
          </w:p>
        </w:tc>
        <w:tc>
          <w:tcPr>
            <w:tcW w:w="2798" w:type="dxa"/>
          </w:tcPr>
          <w:p w:rsidR="003132B2" w:rsidRPr="006630B1" w:rsidRDefault="003132B2" w:rsidP="00F56EE2">
            <w:r>
              <w:t>Falta de personal responsable designado para la administración de bienes de infraestructura informática</w:t>
            </w:r>
            <w:r>
              <w:t xml:space="preserve"> en la Unidad.</w:t>
            </w:r>
          </w:p>
        </w:tc>
        <w:tc>
          <w:tcPr>
            <w:tcW w:w="2798" w:type="dxa"/>
          </w:tcPr>
          <w:p w:rsidR="003132B2" w:rsidRPr="006630B1" w:rsidRDefault="003132B2" w:rsidP="00F56EE2">
            <w:r>
              <w:t>El responsable de bienes solo puede ser personal de Confianza.</w:t>
            </w:r>
          </w:p>
        </w:tc>
        <w:tc>
          <w:tcPr>
            <w:tcW w:w="2799" w:type="dxa"/>
          </w:tcPr>
          <w:p w:rsidR="003132B2" w:rsidRPr="006630B1" w:rsidRDefault="003132B2" w:rsidP="00A73721">
            <w:r>
              <w:t xml:space="preserve">Capacitación y adiestramiento al personal para la administración de los procedimientos para el control de bienes. </w:t>
            </w:r>
          </w:p>
        </w:tc>
        <w:tc>
          <w:tcPr>
            <w:tcW w:w="2799" w:type="dxa"/>
          </w:tcPr>
          <w:p w:rsidR="003132B2" w:rsidRPr="006630B1" w:rsidRDefault="003132B2" w:rsidP="00F56EE2">
            <w:r>
              <w:t>Realizar un programa Delegacional de actualización de inventarios en las Unidades donde no se cuenta con responsable de bienes.</w:t>
            </w:r>
          </w:p>
        </w:tc>
      </w:tr>
      <w:tr w:rsidR="003132B2" w:rsidRPr="006630B1" w:rsidTr="006630B1">
        <w:tc>
          <w:tcPr>
            <w:tcW w:w="2798" w:type="dxa"/>
            <w:vMerge/>
          </w:tcPr>
          <w:p w:rsidR="003132B2" w:rsidRDefault="003132B2" w:rsidP="00F56EE2">
            <w:pPr>
              <w:rPr>
                <w:rFonts w:cs="Arial"/>
              </w:rPr>
            </w:pPr>
          </w:p>
        </w:tc>
        <w:tc>
          <w:tcPr>
            <w:tcW w:w="2798" w:type="dxa"/>
          </w:tcPr>
          <w:p w:rsidR="003132B2" w:rsidRDefault="003132B2" w:rsidP="00F56EE2">
            <w:r>
              <w:t>Poca o nula supervisión a los procedimientos para la administración de bienes de infraestructura informática</w:t>
            </w:r>
          </w:p>
        </w:tc>
        <w:tc>
          <w:tcPr>
            <w:tcW w:w="2798" w:type="dxa"/>
          </w:tcPr>
          <w:p w:rsidR="003132B2" w:rsidRDefault="003132B2" w:rsidP="00F56EE2">
            <w:r>
              <w:t>Presupuesto finito para realizar las supervisiones en sitio.</w:t>
            </w:r>
          </w:p>
        </w:tc>
        <w:tc>
          <w:tcPr>
            <w:tcW w:w="2799" w:type="dxa"/>
          </w:tcPr>
          <w:p w:rsidR="003132B2" w:rsidRDefault="003132B2" w:rsidP="00A73721">
            <w:r>
              <w:t>Mayores recursos para realizar la supervisión.</w:t>
            </w:r>
          </w:p>
        </w:tc>
        <w:tc>
          <w:tcPr>
            <w:tcW w:w="2799" w:type="dxa"/>
          </w:tcPr>
          <w:p w:rsidR="003132B2" w:rsidRDefault="003132B2" w:rsidP="003132B2">
            <w:r>
              <w:t xml:space="preserve">Monitorear </w:t>
            </w:r>
            <w:r w:rsidR="001A4256">
              <w:t>periódicamente</w:t>
            </w:r>
            <w:r>
              <w:t xml:space="preserve"> mediante herramientas de RED, que todos los equipos de cómputo e impresoras se mantengan disponibles y compararlos contra los últimos inventarios de la Unidad y reportes de incidentes. Conciliar con el responsable de bienes las diferencias.</w:t>
            </w:r>
          </w:p>
        </w:tc>
      </w:tr>
    </w:tbl>
    <w:p w:rsidR="006630B1" w:rsidRPr="003715ED" w:rsidRDefault="006630B1" w:rsidP="006630B1"/>
    <w:sectPr w:rsidR="006630B1" w:rsidRPr="003715ED" w:rsidSect="00F544FC">
      <w:footerReference w:type="default" r:id="rId10"/>
      <w:pgSz w:w="16838" w:h="11906" w:orient="landscape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055" w:rsidRDefault="00177055" w:rsidP="00F42130">
      <w:pPr>
        <w:spacing w:line="240" w:lineRule="auto"/>
      </w:pPr>
      <w:r>
        <w:separator/>
      </w:r>
    </w:p>
  </w:endnote>
  <w:endnote w:type="continuationSeparator" w:id="0">
    <w:p w:rsidR="00177055" w:rsidRDefault="00177055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99" w:rsidRDefault="002F3699">
    <w:pPr>
      <w:pStyle w:val="Piedepgina"/>
    </w:pPr>
  </w:p>
  <w:p w:rsidR="002F3699" w:rsidRDefault="002F36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055" w:rsidRDefault="00177055" w:rsidP="00F42130">
      <w:pPr>
        <w:spacing w:line="240" w:lineRule="auto"/>
      </w:pPr>
      <w:r>
        <w:separator/>
      </w:r>
    </w:p>
  </w:footnote>
  <w:footnote w:type="continuationSeparator" w:id="0">
    <w:p w:rsidR="00177055" w:rsidRDefault="00177055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27626"/>
    <w:multiLevelType w:val="hybridMultilevel"/>
    <w:tmpl w:val="AB9AC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B33AE"/>
    <w:multiLevelType w:val="hybridMultilevel"/>
    <w:tmpl w:val="C0922C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F7455"/>
    <w:multiLevelType w:val="hybridMultilevel"/>
    <w:tmpl w:val="8FBC9F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0691E"/>
    <w:rsid w:val="00011CF3"/>
    <w:rsid w:val="00013221"/>
    <w:rsid w:val="00014975"/>
    <w:rsid w:val="00014F30"/>
    <w:rsid w:val="00021053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07F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0C6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77055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2CD"/>
    <w:rsid w:val="001A3CD0"/>
    <w:rsid w:val="001A4256"/>
    <w:rsid w:val="001A5C65"/>
    <w:rsid w:val="001A6151"/>
    <w:rsid w:val="001A6416"/>
    <w:rsid w:val="001A64D8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2EA1"/>
    <w:rsid w:val="00203430"/>
    <w:rsid w:val="00212E33"/>
    <w:rsid w:val="00212E9B"/>
    <w:rsid w:val="00217A48"/>
    <w:rsid w:val="002227D2"/>
    <w:rsid w:val="00223E9F"/>
    <w:rsid w:val="00227115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6EC"/>
    <w:rsid w:val="002E6E61"/>
    <w:rsid w:val="002F2BCD"/>
    <w:rsid w:val="002F3699"/>
    <w:rsid w:val="00301A53"/>
    <w:rsid w:val="00302E85"/>
    <w:rsid w:val="0030386B"/>
    <w:rsid w:val="00304BF8"/>
    <w:rsid w:val="0030576B"/>
    <w:rsid w:val="00312514"/>
    <w:rsid w:val="003132B2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15ED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5E8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1551"/>
    <w:rsid w:val="00594C4C"/>
    <w:rsid w:val="0059560A"/>
    <w:rsid w:val="00595925"/>
    <w:rsid w:val="005965C4"/>
    <w:rsid w:val="0059698B"/>
    <w:rsid w:val="005A0888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2F0E"/>
    <w:rsid w:val="0060705F"/>
    <w:rsid w:val="00615173"/>
    <w:rsid w:val="00615ABB"/>
    <w:rsid w:val="00620822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19FD"/>
    <w:rsid w:val="006535C4"/>
    <w:rsid w:val="00653D97"/>
    <w:rsid w:val="00654B56"/>
    <w:rsid w:val="00657087"/>
    <w:rsid w:val="00661990"/>
    <w:rsid w:val="006630B1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E5B"/>
    <w:rsid w:val="008027A0"/>
    <w:rsid w:val="00802899"/>
    <w:rsid w:val="008030D5"/>
    <w:rsid w:val="00804288"/>
    <w:rsid w:val="00814EE4"/>
    <w:rsid w:val="00817E3A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3617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40FB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3721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C7E2F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1EA3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9CA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5AE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1F2D"/>
    <w:rsid w:val="00E72286"/>
    <w:rsid w:val="00E736F0"/>
    <w:rsid w:val="00E75540"/>
    <w:rsid w:val="00E76047"/>
    <w:rsid w:val="00E76A93"/>
    <w:rsid w:val="00E84E71"/>
    <w:rsid w:val="00E90BD0"/>
    <w:rsid w:val="00E92550"/>
    <w:rsid w:val="00E92853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3F30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4FC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254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8B0515-ADC5-4D36-8385-8DAE5047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Estratégico para la Coordinación Delegacional de Informática</vt:lpstr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Estratégico para la Coordinación Delegacional de Informática</dc:title>
  <dc:subject>MECANISMOS de evaluación</dc:subject>
  <dc:creator>Cuauhtemoc Flores Garcia mat. 20150796</dc:creator>
  <cp:keywords/>
  <dc:description/>
  <cp:lastModifiedBy>Cuauhtemoc Flores Garcia</cp:lastModifiedBy>
  <cp:revision>7</cp:revision>
  <dcterms:created xsi:type="dcterms:W3CDTF">2015-11-08T23:41:00Z</dcterms:created>
  <dcterms:modified xsi:type="dcterms:W3CDTF">2015-11-12T05:13:00Z</dcterms:modified>
</cp:coreProperties>
</file>