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AC1" w:rsidRDefault="00B05A3E" w:rsidP="00A52523">
      <w:pPr>
        <w:rPr>
          <w:rFonts w:ascii="Times New Roman" w:hAnsi="Times New Roman" w:cs="Times New Roman"/>
          <w:b/>
          <w:sz w:val="24"/>
          <w:szCs w:val="24"/>
        </w:rPr>
      </w:pPr>
      <w:r>
        <w:rPr>
          <w:rFonts w:eastAsiaTheme="majorEastAsia" w:cstheme="majorBidi"/>
          <w:noProof/>
        </w:rPr>
        <w:drawing>
          <wp:anchor distT="0" distB="0" distL="114300" distR="114300" simplePos="0" relativeHeight="251665408" behindDoc="1" locked="0" layoutInCell="1" allowOverlap="1" wp14:anchorId="680735B5" wp14:editId="77A443BB">
            <wp:simplePos x="0" y="0"/>
            <wp:positionH relativeFrom="column">
              <wp:posOffset>-412115</wp:posOffset>
            </wp:positionH>
            <wp:positionV relativeFrom="paragraph">
              <wp:posOffset>-604520</wp:posOffset>
            </wp:positionV>
            <wp:extent cx="455930" cy="513715"/>
            <wp:effectExtent l="0" t="0" r="0" b="0"/>
            <wp:wrapTight wrapText="bothSides">
              <wp:wrapPolygon edited="0">
                <wp:start x="0" y="2403"/>
                <wp:lineTo x="0" y="18423"/>
                <wp:lineTo x="15343" y="18423"/>
                <wp:lineTo x="20758" y="14418"/>
                <wp:lineTo x="20758" y="6408"/>
                <wp:lineTo x="19855" y="2403"/>
                <wp:lineTo x="0" y="2403"/>
              </wp:wrapPolygon>
            </wp:wrapTight>
            <wp:docPr id="4"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7" cstate="print"/>
                    <a:srcRect r="67051"/>
                    <a:stretch>
                      <a:fillRect/>
                    </a:stretch>
                  </pic:blipFill>
                  <pic:spPr bwMode="auto">
                    <a:xfrm>
                      <a:off x="0" y="0"/>
                      <a:ext cx="455930" cy="513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64D99" w:rsidRPr="00B05A3E">
        <w:rPr>
          <w:rFonts w:ascii="Times New Roman" w:hAnsi="Times New Roman" w:cs="Times New Roman"/>
          <w:b/>
          <w:sz w:val="24"/>
          <w:szCs w:val="24"/>
        </w:rPr>
        <w:t>¿Cuáles fueron los aspectos recurrentes en las crisis de los países considerados?</w:t>
      </w:r>
    </w:p>
    <w:p w:rsidR="00664D99" w:rsidRPr="00096AC1" w:rsidRDefault="00664D99" w:rsidP="00A52523">
      <w:pPr>
        <w:spacing w:line="360" w:lineRule="auto"/>
        <w:jc w:val="both"/>
        <w:rPr>
          <w:rFonts w:ascii="Times New Roman" w:hAnsi="Times New Roman" w:cs="Times New Roman"/>
          <w:b/>
          <w:sz w:val="24"/>
          <w:szCs w:val="24"/>
        </w:rPr>
      </w:pPr>
      <w:r w:rsidRPr="00B05A3E">
        <w:rPr>
          <w:rFonts w:ascii="Times New Roman" w:hAnsi="Times New Roman" w:cs="Times New Roman"/>
          <w:sz w:val="24"/>
          <w:szCs w:val="24"/>
        </w:rPr>
        <w:t xml:space="preserve">Uno de los aspectos recurrentes en las crisis de los países estudiados es el detrimento del clima de confianza para el flujo de capitales y la inversión tanto doméstica como internacional.  En 1998 se inicia en Argentina un periodo de recesión económica que tuvo efectos significativos en la percepción de esta confianza expresada en un aumento del riesgo país, esta situación llegó a niveles críticos tales que el Gobierno de la Argentina se encontró en riesgo de insostenibilidad para pagar el servicio de su deuda pública y de caer en un </w:t>
      </w:r>
      <w:r w:rsidRPr="00B05A3E">
        <w:rPr>
          <w:rFonts w:ascii="Times New Roman" w:hAnsi="Times New Roman" w:cs="Times New Roman"/>
          <w:i/>
          <w:sz w:val="24"/>
          <w:szCs w:val="24"/>
        </w:rPr>
        <w:t>default</w:t>
      </w:r>
      <w:r w:rsidR="00A568A3" w:rsidRPr="00B05A3E">
        <w:rPr>
          <w:rFonts w:ascii="Times New Roman" w:hAnsi="Times New Roman" w:cs="Times New Roman"/>
          <w:sz w:val="24"/>
          <w:szCs w:val="24"/>
        </w:rPr>
        <w:t>, es decir, en insolvencia para hacer frente a los plazos de pago</w:t>
      </w:r>
      <w:r w:rsidRPr="00B05A3E">
        <w:rPr>
          <w:rFonts w:ascii="Times New Roman" w:hAnsi="Times New Roman" w:cs="Times New Roman"/>
          <w:sz w:val="24"/>
          <w:szCs w:val="24"/>
        </w:rPr>
        <w:t>. Precisamente previendo e</w:t>
      </w:r>
      <w:r w:rsidR="00A568A3" w:rsidRPr="00B05A3E">
        <w:rPr>
          <w:rFonts w:ascii="Times New Roman" w:hAnsi="Times New Roman" w:cs="Times New Roman"/>
          <w:sz w:val="24"/>
          <w:szCs w:val="24"/>
        </w:rPr>
        <w:t>sta situación, tuvo la oportunidad de obtener por parte del Fondo Monetario Internacional (FMI) un paquete de ayud</w:t>
      </w:r>
      <w:r w:rsidR="009C76BF" w:rsidRPr="00B05A3E">
        <w:rPr>
          <w:rFonts w:ascii="Times New Roman" w:hAnsi="Times New Roman" w:cs="Times New Roman"/>
          <w:sz w:val="24"/>
          <w:szCs w:val="24"/>
        </w:rPr>
        <w:t>a económica para pagar los vencimientos obligados a liquidarse en el corto plazo.</w:t>
      </w:r>
    </w:p>
    <w:p w:rsidR="009C76BF" w:rsidRPr="00B05A3E" w:rsidRDefault="009C76BF" w:rsidP="00B05A3E">
      <w:pPr>
        <w:spacing w:line="360" w:lineRule="auto"/>
        <w:jc w:val="both"/>
        <w:rPr>
          <w:rFonts w:ascii="Times New Roman" w:hAnsi="Times New Roman" w:cs="Times New Roman"/>
          <w:sz w:val="24"/>
          <w:szCs w:val="24"/>
        </w:rPr>
      </w:pPr>
      <w:r w:rsidRPr="00B05A3E">
        <w:rPr>
          <w:rFonts w:ascii="Times New Roman" w:hAnsi="Times New Roman" w:cs="Times New Roman"/>
          <w:sz w:val="24"/>
          <w:szCs w:val="24"/>
        </w:rPr>
        <w:t>En el caso de México, esta situación de mengua de la confianza percibida por los inversores se expresó en 1994 por la venta masiva  de Tesobonos (títulos públicos indexados en dólares que el gobierno mexicano emitió para contribuir a recuperar el nivel de las reservas internacionales) debido al temor a que sucediera un incumplimiento de pago dado</w:t>
      </w:r>
      <w:r w:rsidR="006C7C04" w:rsidRPr="00B05A3E">
        <w:rPr>
          <w:rFonts w:ascii="Times New Roman" w:hAnsi="Times New Roman" w:cs="Times New Roman"/>
          <w:sz w:val="24"/>
          <w:szCs w:val="24"/>
        </w:rPr>
        <w:t>, entro otros, 3</w:t>
      </w:r>
      <w:r w:rsidRPr="00B05A3E">
        <w:rPr>
          <w:rFonts w:ascii="Times New Roman" w:hAnsi="Times New Roman" w:cs="Times New Roman"/>
          <w:sz w:val="24"/>
          <w:szCs w:val="24"/>
        </w:rPr>
        <w:t xml:space="preserve"> indicios técnicos muy evidentes: el incremento en la magnitud de la deuda relacionada con este tipo de títulos financieros tuvo un incremento acelerado según la </w:t>
      </w:r>
      <w:r w:rsidR="006C7C04" w:rsidRPr="00B05A3E">
        <w:rPr>
          <w:rFonts w:ascii="Times New Roman" w:hAnsi="Times New Roman" w:cs="Times New Roman"/>
          <w:sz w:val="24"/>
          <w:szCs w:val="24"/>
        </w:rPr>
        <w:t xml:space="preserve">percepción del mercado, </w:t>
      </w:r>
      <w:r w:rsidRPr="00B05A3E">
        <w:rPr>
          <w:rFonts w:ascii="Times New Roman" w:hAnsi="Times New Roman" w:cs="Times New Roman"/>
          <w:sz w:val="24"/>
          <w:szCs w:val="24"/>
        </w:rPr>
        <w:t>se observaba inestabilidad sistémica en</w:t>
      </w:r>
      <w:r w:rsidR="006C7C04" w:rsidRPr="00B05A3E">
        <w:rPr>
          <w:rFonts w:ascii="Times New Roman" w:hAnsi="Times New Roman" w:cs="Times New Roman"/>
          <w:sz w:val="24"/>
          <w:szCs w:val="24"/>
        </w:rPr>
        <w:t xml:space="preserve"> el sector bancario e</w:t>
      </w:r>
      <w:r w:rsidRPr="00B05A3E">
        <w:rPr>
          <w:rFonts w:ascii="Times New Roman" w:hAnsi="Times New Roman" w:cs="Times New Roman"/>
          <w:sz w:val="24"/>
          <w:szCs w:val="24"/>
        </w:rPr>
        <w:t xml:space="preserve"> incertidumbre en el manejo del tipo de cambio</w:t>
      </w:r>
      <w:r w:rsidR="006C7C04" w:rsidRPr="00B05A3E">
        <w:rPr>
          <w:rFonts w:ascii="Times New Roman" w:hAnsi="Times New Roman" w:cs="Times New Roman"/>
          <w:sz w:val="24"/>
          <w:szCs w:val="24"/>
        </w:rPr>
        <w:t>,</w:t>
      </w:r>
      <w:r w:rsidRPr="00B05A3E">
        <w:rPr>
          <w:rFonts w:ascii="Times New Roman" w:hAnsi="Times New Roman" w:cs="Times New Roman"/>
          <w:sz w:val="24"/>
          <w:szCs w:val="24"/>
        </w:rPr>
        <w:t xml:space="preserve"> </w:t>
      </w:r>
      <w:r w:rsidR="006C7C04" w:rsidRPr="00B05A3E">
        <w:rPr>
          <w:rFonts w:ascii="Times New Roman" w:hAnsi="Times New Roman" w:cs="Times New Roman"/>
          <w:sz w:val="24"/>
          <w:szCs w:val="24"/>
        </w:rPr>
        <w:t>que podían desencadenar una problemas de recesión y una eventual devaluación de la moneda.</w:t>
      </w:r>
    </w:p>
    <w:p w:rsidR="001D60ED" w:rsidRPr="00B05A3E" w:rsidRDefault="001D60ED" w:rsidP="00B05A3E">
      <w:pPr>
        <w:spacing w:line="360" w:lineRule="auto"/>
        <w:jc w:val="both"/>
        <w:rPr>
          <w:rFonts w:ascii="Times New Roman" w:hAnsi="Times New Roman" w:cs="Times New Roman"/>
          <w:sz w:val="24"/>
          <w:szCs w:val="24"/>
        </w:rPr>
      </w:pPr>
      <w:r w:rsidRPr="00B05A3E">
        <w:rPr>
          <w:rFonts w:ascii="Times New Roman" w:hAnsi="Times New Roman" w:cs="Times New Roman"/>
          <w:sz w:val="24"/>
          <w:szCs w:val="24"/>
        </w:rPr>
        <w:t xml:space="preserve">Uno de los aspectos más relevantes que contribuyó a propiciar la crisis es el de la falta de capitalización y de liquidez del sector bancario. En el caso de Argentina, uno de los errores cruciales fue que, dada la disminución de los depósitos bancarios y de las reservas bancarias para responder a los ahorros de sus clientes, se decidió otorgarles liquidez por medio de la emisión de deuda a través de la salida al mercado de bonos del gobierno. Esto propició que el sistema de pagos y en general todo el sector de la banca comercial fuera vulnerable a la inestabilidad macroeconómica, generándose con ello un círculo vicioso de catastróficas consecuencias financieras. Por su parte, en México el riesgo de colapso del sistema bancario tuvo que ver con impericia en el proceso de liberalización de los bancos, en el mecanismo de privatización que ocasionó una descapitalización de los nuevos dueños </w:t>
      </w:r>
      <w:r w:rsidRPr="00B05A3E">
        <w:rPr>
          <w:rFonts w:ascii="Times New Roman" w:hAnsi="Times New Roman" w:cs="Times New Roman"/>
          <w:sz w:val="24"/>
          <w:szCs w:val="24"/>
        </w:rPr>
        <w:lastRenderedPageBreak/>
        <w:t xml:space="preserve">de los bancos debido al alto precio pagado por ellos, y a que, precisamente por esta razón, buscaran recuperar las millonarias cifras pagadas por ellos  por medio de un indiscriminado incremento en el crédito ofrecido que propició una crisis de carteras vencidas y de falta de liquidez de los bancos. </w:t>
      </w:r>
    </w:p>
    <w:p w:rsidR="00664D99" w:rsidRPr="00096AC1" w:rsidRDefault="00B05A3E" w:rsidP="00096AC1">
      <w:pPr>
        <w:spacing w:line="360" w:lineRule="auto"/>
        <w:jc w:val="both"/>
        <w:rPr>
          <w:rFonts w:ascii="Times New Roman" w:hAnsi="Times New Roman" w:cs="Times New Roman"/>
          <w:sz w:val="24"/>
          <w:szCs w:val="24"/>
        </w:rPr>
      </w:pPr>
      <w:r>
        <w:rPr>
          <w:rFonts w:eastAsiaTheme="majorEastAsia" w:cstheme="majorBidi"/>
          <w:noProof/>
        </w:rPr>
        <w:drawing>
          <wp:anchor distT="0" distB="0" distL="114300" distR="114300" simplePos="0" relativeHeight="251663360" behindDoc="1" locked="0" layoutInCell="1" allowOverlap="1" wp14:anchorId="46118710" wp14:editId="29775691">
            <wp:simplePos x="0" y="0"/>
            <wp:positionH relativeFrom="column">
              <wp:posOffset>-365125</wp:posOffset>
            </wp:positionH>
            <wp:positionV relativeFrom="paragraph">
              <wp:posOffset>-1840230</wp:posOffset>
            </wp:positionV>
            <wp:extent cx="455930" cy="513715"/>
            <wp:effectExtent l="0" t="0" r="0" b="0"/>
            <wp:wrapTight wrapText="bothSides">
              <wp:wrapPolygon edited="0">
                <wp:start x="0" y="2403"/>
                <wp:lineTo x="0" y="18423"/>
                <wp:lineTo x="15343" y="18423"/>
                <wp:lineTo x="20758" y="14418"/>
                <wp:lineTo x="20758" y="6408"/>
                <wp:lineTo x="19855" y="2403"/>
                <wp:lineTo x="0" y="2403"/>
              </wp:wrapPolygon>
            </wp:wrapTight>
            <wp:docPr id="3"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7" cstate="print"/>
                    <a:srcRect r="67051"/>
                    <a:stretch>
                      <a:fillRect/>
                    </a:stretch>
                  </pic:blipFill>
                  <pic:spPr bwMode="auto">
                    <a:xfrm>
                      <a:off x="0" y="0"/>
                      <a:ext cx="455930" cy="513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C7C04" w:rsidRPr="00B05A3E">
        <w:rPr>
          <w:rFonts w:ascii="Times New Roman" w:hAnsi="Times New Roman" w:cs="Times New Roman"/>
          <w:sz w:val="24"/>
          <w:szCs w:val="24"/>
        </w:rPr>
        <w:t xml:space="preserve">Otro de los aspectos recurrentes </w:t>
      </w:r>
      <w:r w:rsidR="007671AF" w:rsidRPr="00B05A3E">
        <w:rPr>
          <w:rFonts w:ascii="Times New Roman" w:hAnsi="Times New Roman" w:cs="Times New Roman"/>
          <w:sz w:val="24"/>
          <w:szCs w:val="24"/>
        </w:rPr>
        <w:t xml:space="preserve">comunes </w:t>
      </w:r>
      <w:r w:rsidR="006C7C04" w:rsidRPr="00B05A3E">
        <w:rPr>
          <w:rFonts w:ascii="Times New Roman" w:hAnsi="Times New Roman" w:cs="Times New Roman"/>
          <w:sz w:val="24"/>
          <w:szCs w:val="24"/>
        </w:rPr>
        <w:t>en ambos países es que enfrentaron en los momentos previos a el estallamiento de la crisis de significativos niveles de déficit fiscales, tanto con crecientes niveles de gasto público como con crecimientos acelerados</w:t>
      </w:r>
      <w:r w:rsidR="007671AF" w:rsidRPr="00B05A3E">
        <w:rPr>
          <w:rFonts w:ascii="Times New Roman" w:hAnsi="Times New Roman" w:cs="Times New Roman"/>
          <w:sz w:val="24"/>
          <w:szCs w:val="24"/>
        </w:rPr>
        <w:t xml:space="preserve"> de la deuda del sector público lo que los conducía a un escenario de insostenibilidad fiscal y dificultad al acceso de mercados de crédito internacionales.</w:t>
      </w:r>
    </w:p>
    <w:p w:rsidR="00664D99" w:rsidRPr="00B05A3E" w:rsidRDefault="00664D99" w:rsidP="00A52523">
      <w:pPr>
        <w:rPr>
          <w:rFonts w:ascii="Times New Roman" w:hAnsi="Times New Roman" w:cs="Times New Roman"/>
          <w:b/>
          <w:sz w:val="24"/>
          <w:szCs w:val="24"/>
        </w:rPr>
      </w:pPr>
      <w:r w:rsidRPr="00B05A3E">
        <w:rPr>
          <w:rFonts w:ascii="Times New Roman" w:hAnsi="Times New Roman" w:cs="Times New Roman"/>
          <w:b/>
          <w:sz w:val="24"/>
          <w:szCs w:val="24"/>
        </w:rPr>
        <w:t>¿Cuáles han sido algunas de sus debilidades y fortalezas?</w:t>
      </w:r>
    </w:p>
    <w:p w:rsidR="007548E2" w:rsidRPr="00B05A3E" w:rsidRDefault="0008004D" w:rsidP="00A52523">
      <w:pPr>
        <w:spacing w:line="360" w:lineRule="auto"/>
        <w:jc w:val="both"/>
        <w:rPr>
          <w:rFonts w:ascii="Times New Roman" w:hAnsi="Times New Roman" w:cs="Times New Roman"/>
          <w:sz w:val="24"/>
          <w:szCs w:val="24"/>
        </w:rPr>
      </w:pPr>
      <w:r w:rsidRPr="00B05A3E">
        <w:rPr>
          <w:rFonts w:ascii="Times New Roman" w:hAnsi="Times New Roman" w:cs="Times New Roman"/>
          <w:sz w:val="24"/>
          <w:szCs w:val="24"/>
        </w:rPr>
        <w:t>Después de adolecer condiciones económicas y sociales precarias  ocasionadas en buena medida por las fallas del esquema del Gran Salto Delante y de la Revolución Cultural China que produjeron una crisis con consecuencias críticas tan dramáticas como hambrunas que pusieron en riesgo la vida de millones de chinos, a</w:t>
      </w:r>
      <w:r w:rsidR="005416D3" w:rsidRPr="00B05A3E">
        <w:rPr>
          <w:rFonts w:ascii="Times New Roman" w:hAnsi="Times New Roman" w:cs="Times New Roman"/>
          <w:sz w:val="24"/>
          <w:szCs w:val="24"/>
        </w:rPr>
        <w:t xml:space="preserve">lgunas de las fortalezas </w:t>
      </w:r>
      <w:r w:rsidR="007548E2" w:rsidRPr="00B05A3E">
        <w:rPr>
          <w:rFonts w:ascii="Times New Roman" w:hAnsi="Times New Roman" w:cs="Times New Roman"/>
          <w:sz w:val="24"/>
          <w:szCs w:val="24"/>
        </w:rPr>
        <w:t xml:space="preserve">que pueden ser destacadas </w:t>
      </w:r>
      <w:r w:rsidR="005416D3" w:rsidRPr="00B05A3E">
        <w:rPr>
          <w:rFonts w:ascii="Times New Roman" w:hAnsi="Times New Roman" w:cs="Times New Roman"/>
          <w:sz w:val="24"/>
          <w:szCs w:val="24"/>
        </w:rPr>
        <w:t xml:space="preserve">del florecimiento de la economía </w:t>
      </w:r>
      <w:r w:rsidRPr="00B05A3E">
        <w:rPr>
          <w:rFonts w:ascii="Times New Roman" w:hAnsi="Times New Roman" w:cs="Times New Roman"/>
          <w:sz w:val="24"/>
          <w:szCs w:val="24"/>
        </w:rPr>
        <w:t>de este</w:t>
      </w:r>
      <w:r w:rsidR="007548E2" w:rsidRPr="00B05A3E">
        <w:rPr>
          <w:rFonts w:ascii="Times New Roman" w:hAnsi="Times New Roman" w:cs="Times New Roman"/>
          <w:sz w:val="24"/>
          <w:szCs w:val="24"/>
        </w:rPr>
        <w:t xml:space="preserve"> país</w:t>
      </w:r>
      <w:r w:rsidR="005416D3" w:rsidRPr="00B05A3E">
        <w:rPr>
          <w:rFonts w:ascii="Times New Roman" w:hAnsi="Times New Roman" w:cs="Times New Roman"/>
          <w:sz w:val="24"/>
          <w:szCs w:val="24"/>
        </w:rPr>
        <w:t xml:space="preserve"> </w:t>
      </w:r>
      <w:r w:rsidR="007548E2" w:rsidRPr="00B05A3E">
        <w:rPr>
          <w:rFonts w:ascii="Times New Roman" w:hAnsi="Times New Roman" w:cs="Times New Roman"/>
          <w:sz w:val="24"/>
          <w:szCs w:val="24"/>
        </w:rPr>
        <w:t>parten del logro de</w:t>
      </w:r>
      <w:r w:rsidR="005416D3" w:rsidRPr="00B05A3E">
        <w:rPr>
          <w:rFonts w:ascii="Times New Roman" w:hAnsi="Times New Roman" w:cs="Times New Roman"/>
          <w:sz w:val="24"/>
          <w:szCs w:val="24"/>
        </w:rPr>
        <w:t xml:space="preserve"> institucionalizar un sistema comunista con mecanismos de mercado y valores de consumo y producción occidental</w:t>
      </w:r>
      <w:r w:rsidR="007548E2" w:rsidRPr="00B05A3E">
        <w:rPr>
          <w:rFonts w:ascii="Times New Roman" w:hAnsi="Times New Roman" w:cs="Times New Roman"/>
          <w:sz w:val="24"/>
          <w:szCs w:val="24"/>
        </w:rPr>
        <w:t xml:space="preserve"> que ha resultado ser eficiente en términos económicos. </w:t>
      </w:r>
    </w:p>
    <w:p w:rsidR="007548E2" w:rsidRPr="00B05A3E" w:rsidRDefault="007548E2" w:rsidP="00B05A3E">
      <w:pPr>
        <w:spacing w:line="360" w:lineRule="auto"/>
        <w:jc w:val="both"/>
        <w:rPr>
          <w:rFonts w:ascii="Times New Roman" w:hAnsi="Times New Roman" w:cs="Times New Roman"/>
          <w:sz w:val="24"/>
          <w:szCs w:val="24"/>
        </w:rPr>
      </w:pPr>
      <w:r w:rsidRPr="00B05A3E">
        <w:rPr>
          <w:rFonts w:ascii="Times New Roman" w:hAnsi="Times New Roman" w:cs="Times New Roman"/>
          <w:sz w:val="24"/>
          <w:szCs w:val="24"/>
        </w:rPr>
        <w:t>Específicamente se</w:t>
      </w:r>
      <w:r w:rsidR="005416D3" w:rsidRPr="00B05A3E">
        <w:rPr>
          <w:rFonts w:ascii="Times New Roman" w:hAnsi="Times New Roman" w:cs="Times New Roman"/>
          <w:sz w:val="24"/>
          <w:szCs w:val="24"/>
        </w:rPr>
        <w:t xml:space="preserve"> ha</w:t>
      </w:r>
      <w:r w:rsidRPr="00B05A3E">
        <w:rPr>
          <w:rFonts w:ascii="Times New Roman" w:hAnsi="Times New Roman" w:cs="Times New Roman"/>
          <w:sz w:val="24"/>
          <w:szCs w:val="24"/>
        </w:rPr>
        <w:t>n</w:t>
      </w:r>
      <w:r w:rsidR="005416D3" w:rsidRPr="00B05A3E">
        <w:rPr>
          <w:rFonts w:ascii="Times New Roman" w:hAnsi="Times New Roman" w:cs="Times New Roman"/>
          <w:sz w:val="24"/>
          <w:szCs w:val="24"/>
        </w:rPr>
        <w:t xml:space="preserve"> enfocado en un acelerado desarrollo de la infraestructura productiva, tales como: puertos, aeropuertos, líneas de trenes</w:t>
      </w:r>
      <w:r w:rsidR="0008004D" w:rsidRPr="00B05A3E">
        <w:rPr>
          <w:rFonts w:ascii="Times New Roman" w:hAnsi="Times New Roman" w:cs="Times New Roman"/>
          <w:sz w:val="24"/>
          <w:szCs w:val="24"/>
        </w:rPr>
        <w:t xml:space="preserve">, carreteras, puentes, incluso de ciudades enteras. Tiene un sector industrial muy dinámico, encontrándose exportaciones chinas en prácticamente cualquier ciudad del mundo. </w:t>
      </w:r>
    </w:p>
    <w:p w:rsidR="005416D3" w:rsidRPr="00B05A3E" w:rsidRDefault="0008004D" w:rsidP="00B05A3E">
      <w:pPr>
        <w:spacing w:line="360" w:lineRule="auto"/>
        <w:jc w:val="both"/>
        <w:rPr>
          <w:rFonts w:ascii="Times New Roman" w:hAnsi="Times New Roman" w:cs="Times New Roman"/>
          <w:sz w:val="24"/>
          <w:szCs w:val="24"/>
        </w:rPr>
      </w:pPr>
      <w:r w:rsidRPr="00B05A3E">
        <w:rPr>
          <w:rFonts w:ascii="Times New Roman" w:hAnsi="Times New Roman" w:cs="Times New Roman"/>
          <w:sz w:val="24"/>
          <w:szCs w:val="24"/>
        </w:rPr>
        <w:t>Cómo debilidad se puede citar que esa vorágine de crecimiento económico que ha llegado a rondar las 2 cifras, paradójicamente se ve opacado por un acelerado incremento en el nivel de desigualdad social y económica, ejercicio limitado de derechos humanos, desempleo masivo, envejecimiento de  su población, descontento social de amplios sectores rurales y campesinos y de existencia de medios de corrupción sistémica al interior del gobierno. Todo ello pone en duda la sustentabilidad del auge económico y social chino para el largo plazo.</w:t>
      </w:r>
    </w:p>
    <w:p w:rsidR="00B05A3E" w:rsidRDefault="00B05A3E" w:rsidP="00096AC1">
      <w:pPr>
        <w:spacing w:line="360" w:lineRule="auto"/>
        <w:jc w:val="both"/>
        <w:rPr>
          <w:rFonts w:ascii="Times New Roman" w:hAnsi="Times New Roman" w:cs="Times New Roman"/>
          <w:sz w:val="24"/>
          <w:szCs w:val="24"/>
        </w:rPr>
      </w:pPr>
      <w:r>
        <w:rPr>
          <w:rFonts w:eastAsiaTheme="majorEastAsia" w:cstheme="majorBidi"/>
          <w:noProof/>
        </w:rPr>
        <w:lastRenderedPageBreak/>
        <w:drawing>
          <wp:anchor distT="0" distB="0" distL="114300" distR="114300" simplePos="0" relativeHeight="251661312" behindDoc="1" locked="0" layoutInCell="1" allowOverlap="1" wp14:anchorId="1A77CF88" wp14:editId="01615FCA">
            <wp:simplePos x="0" y="0"/>
            <wp:positionH relativeFrom="column">
              <wp:posOffset>-393700</wp:posOffset>
            </wp:positionH>
            <wp:positionV relativeFrom="paragraph">
              <wp:posOffset>-661670</wp:posOffset>
            </wp:positionV>
            <wp:extent cx="455930" cy="513715"/>
            <wp:effectExtent l="0" t="0" r="0" b="0"/>
            <wp:wrapTight wrapText="bothSides">
              <wp:wrapPolygon edited="0">
                <wp:start x="0" y="2403"/>
                <wp:lineTo x="0" y="18423"/>
                <wp:lineTo x="15343" y="18423"/>
                <wp:lineTo x="20758" y="14418"/>
                <wp:lineTo x="20758" y="6408"/>
                <wp:lineTo x="19855" y="2403"/>
                <wp:lineTo x="0" y="2403"/>
              </wp:wrapPolygon>
            </wp:wrapTight>
            <wp:docPr id="2"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7" cstate="print"/>
                    <a:srcRect r="67051"/>
                    <a:stretch>
                      <a:fillRect/>
                    </a:stretch>
                  </pic:blipFill>
                  <pic:spPr bwMode="auto">
                    <a:xfrm>
                      <a:off x="0" y="0"/>
                      <a:ext cx="455930" cy="513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548E2" w:rsidRPr="00B05A3E">
        <w:rPr>
          <w:rFonts w:ascii="Times New Roman" w:hAnsi="Times New Roman" w:cs="Times New Roman"/>
          <w:sz w:val="24"/>
          <w:szCs w:val="24"/>
        </w:rPr>
        <w:t xml:space="preserve">En cuanto al caso chileno se puede destacar como un fortaleza la decisión de la Concertación de una continuidad del sistema económico de la dictadura de Pinochet justificando que el funcionamiento de la economía durante el gobierno militar de apertura al mundo y de libre mercado había sido exitoso, que correspondía a la ortodoxia contemporánea de propiciar medios para el florecimiento de desarrollo económico y que lo que hacía falta era solo incluir componentes de justicia social y solidaridad, dando paso a lo que se llamó el modelo de crecimiento con equidad. La debilidad principal para el caso chileno está en que no </w:t>
      </w:r>
      <w:r w:rsidR="00F61BF3" w:rsidRPr="00B05A3E">
        <w:rPr>
          <w:rFonts w:ascii="Times New Roman" w:hAnsi="Times New Roman" w:cs="Times New Roman"/>
          <w:sz w:val="24"/>
          <w:szCs w:val="24"/>
        </w:rPr>
        <w:t>supieron aprovechar sus periodos de bonanza económica ocasionadas por atractivos precios internacionales para transformar la base productiva que agregue valor a la producción primaria del país y siguen siendo dependientes de la exportación de materias primas. No han desarrollado una plataforma de innovación y tecnología y acarrean problemas de sobrexplotación de recursos naturales y contaminación. Todo ello vuelve vulnerable la sustentabilidad del desarrollo chileno y aumenta el riesgo de una eventual crisis económica.</w:t>
      </w:r>
    </w:p>
    <w:p w:rsidR="00664D99" w:rsidRPr="00B05A3E" w:rsidRDefault="00664D99" w:rsidP="00A52523">
      <w:pPr>
        <w:rPr>
          <w:rFonts w:ascii="Times New Roman" w:hAnsi="Times New Roman" w:cs="Times New Roman"/>
          <w:b/>
          <w:sz w:val="24"/>
          <w:szCs w:val="24"/>
        </w:rPr>
      </w:pPr>
      <w:r w:rsidRPr="00B05A3E">
        <w:rPr>
          <w:rFonts w:ascii="Times New Roman" w:hAnsi="Times New Roman" w:cs="Times New Roman"/>
          <w:b/>
          <w:sz w:val="24"/>
          <w:szCs w:val="24"/>
        </w:rPr>
        <w:t>Reflexión sobre pobreza, distribución de la riqueza e ingreso.</w:t>
      </w:r>
    </w:p>
    <w:p w:rsidR="00F61BF3" w:rsidRPr="00A52523" w:rsidRDefault="00F61BF3" w:rsidP="00A52523">
      <w:pPr>
        <w:spacing w:line="360" w:lineRule="auto"/>
        <w:jc w:val="both"/>
        <w:rPr>
          <w:rFonts w:ascii="Times New Roman" w:hAnsi="Times New Roman" w:cs="Times New Roman"/>
          <w:sz w:val="24"/>
          <w:szCs w:val="24"/>
        </w:rPr>
      </w:pPr>
      <w:r w:rsidRPr="00B05A3E">
        <w:rPr>
          <w:rFonts w:ascii="Times New Roman" w:hAnsi="Times New Roman" w:cs="Times New Roman"/>
          <w:sz w:val="24"/>
          <w:szCs w:val="24"/>
        </w:rPr>
        <w:t xml:space="preserve">Aguilar (2014) señala que existen varios enfoques para definir el concepto de pobreza. En su concepción más simple puede ser comprendida como la insuficiencia de ingresos para adquirir una canasta de bienes y servicios básicos que satisfagan las necesidades vitales y prioritarias de las personas de acuerdo a los estándares de una sociedad determinada. Puede entenderse también de forma multidimensional como la situación de limitaciones y restricciones de la población que enfrenta carencias vinculadas con el goce de derechos sociales relacionados con la educación, salud, seguridad social y vivienda. Incluso puede ser comprendida según el tipo de detrimento que propicie según si los efectos negativos vinculados se presentan a nivel biológico, de patrimonio o de inserción plena en la dinámica social. Sin embargo, la definición que resulta más apropiada, por el fin al que hace referencia, es la que señala A. </w:t>
      </w:r>
      <w:proofErr w:type="spellStart"/>
      <w:r w:rsidRPr="00B05A3E">
        <w:rPr>
          <w:rFonts w:ascii="Times New Roman" w:hAnsi="Times New Roman" w:cs="Times New Roman"/>
          <w:sz w:val="24"/>
          <w:szCs w:val="24"/>
        </w:rPr>
        <w:t>Sen</w:t>
      </w:r>
      <w:proofErr w:type="spellEnd"/>
      <w:r w:rsidRPr="00B05A3E">
        <w:rPr>
          <w:rFonts w:ascii="Times New Roman" w:hAnsi="Times New Roman" w:cs="Times New Roman"/>
          <w:sz w:val="24"/>
          <w:szCs w:val="24"/>
        </w:rPr>
        <w:t xml:space="preserve"> (1997),  que consiste en que la pobreza se relaciona con la incapacidad de producir o realizar el potencial que se encuentra inmerso en la naturaleza de las personas que se desenvuelven en una sociedad. Este enfoque se basa en el concepto de los funcionamientos, que representan todas aquellas cosas que las personas</w:t>
      </w:r>
      <w:r w:rsidR="00A52523">
        <w:rPr>
          <w:rFonts w:ascii="Times New Roman" w:hAnsi="Times New Roman" w:cs="Times New Roman"/>
          <w:sz w:val="24"/>
          <w:szCs w:val="24"/>
        </w:rPr>
        <w:t xml:space="preserve"> </w:t>
      </w:r>
      <w:r w:rsidRPr="00B05A3E">
        <w:rPr>
          <w:rFonts w:ascii="Times New Roman" w:hAnsi="Times New Roman" w:cs="Times New Roman"/>
          <w:sz w:val="24"/>
          <w:szCs w:val="24"/>
        </w:rPr>
        <w:t>podrían lograr hacer o llegar a ser, y en el de las capacidades de las que se disponen para concretar sus d</w:t>
      </w:r>
      <w:r w:rsidR="00A52523">
        <w:rPr>
          <w:rFonts w:ascii="Times New Roman" w:hAnsi="Times New Roman" w:cs="Times New Roman"/>
          <w:sz w:val="24"/>
          <w:szCs w:val="24"/>
        </w:rPr>
        <w:t>erechos en libertades positivas.</w:t>
      </w:r>
      <w:bookmarkStart w:id="0" w:name="_GoBack"/>
      <w:bookmarkEnd w:id="0"/>
    </w:p>
    <w:sectPr w:rsidR="00F61BF3" w:rsidRPr="00A52523" w:rsidSect="00A52523">
      <w:headerReference w:type="default" r:id="rId8"/>
      <w:footerReference w:type="default" r:id="rId9"/>
      <w:pgSz w:w="12240" w:h="15840"/>
      <w:pgMar w:top="1417" w:right="1701" w:bottom="1417" w:left="1701" w:header="708"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A3E" w:rsidRDefault="00B05A3E" w:rsidP="00B05A3E">
      <w:pPr>
        <w:spacing w:after="0" w:line="240" w:lineRule="auto"/>
      </w:pPr>
      <w:r>
        <w:separator/>
      </w:r>
    </w:p>
  </w:endnote>
  <w:endnote w:type="continuationSeparator" w:id="0">
    <w:p w:rsidR="00B05A3E" w:rsidRDefault="00B05A3E" w:rsidP="00B0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523" w:rsidRDefault="00A5252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FLAVIA DALISSAY AGUILAR GÓMEZ 20150798</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Pr="00A52523">
      <w:rPr>
        <w:rFonts w:asciiTheme="majorHAnsi" w:eastAsiaTheme="majorEastAsia" w:hAnsiTheme="majorHAnsi" w:cstheme="majorBidi"/>
        <w:noProof/>
        <w:lang w:val="es-ES"/>
      </w:rPr>
      <w:t>3</w:t>
    </w:r>
    <w:r>
      <w:rPr>
        <w:rFonts w:asciiTheme="majorHAnsi" w:eastAsiaTheme="majorEastAsia" w:hAnsiTheme="majorHAnsi" w:cstheme="majorBidi"/>
      </w:rPr>
      <w:fldChar w:fldCharType="end"/>
    </w:r>
  </w:p>
  <w:p w:rsidR="00A52523" w:rsidRDefault="00A525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A3E" w:rsidRDefault="00B05A3E" w:rsidP="00B05A3E">
      <w:pPr>
        <w:spacing w:after="0" w:line="240" w:lineRule="auto"/>
      </w:pPr>
      <w:r>
        <w:separator/>
      </w:r>
    </w:p>
  </w:footnote>
  <w:footnote w:type="continuationSeparator" w:id="0">
    <w:p w:rsidR="00B05A3E" w:rsidRDefault="00B05A3E" w:rsidP="00B05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alias w:val="Título"/>
      <w:id w:val="77738743"/>
      <w:placeholder>
        <w:docPart w:val="5EA379AB245448FE9A2115E9F070D492"/>
      </w:placeholder>
      <w:dataBinding w:prefixMappings="xmlns:ns0='http://schemas.openxmlformats.org/package/2006/metadata/core-properties' xmlns:ns1='http://purl.org/dc/elements/1.1/'" w:xpath="/ns0:coreProperties[1]/ns1:title[1]" w:storeItemID="{6C3C8BC8-F283-45AE-878A-BAB7291924A1}"/>
      <w:text/>
    </w:sdtPr>
    <w:sdtContent>
      <w:p w:rsidR="00B05A3E" w:rsidRPr="00B05A3E" w:rsidRDefault="00B05A3E">
        <w:pPr>
          <w:pStyle w:val="Encabezado"/>
          <w:pBdr>
            <w:bottom w:val="thickThinSmallGap" w:sz="24" w:space="1" w:color="622423" w:themeColor="accent2" w:themeShade="7F"/>
          </w:pBdr>
          <w:jc w:val="center"/>
          <w:rPr>
            <w:rFonts w:asciiTheme="majorHAnsi" w:eastAsiaTheme="majorEastAsia" w:hAnsiTheme="majorHAnsi" w:cstheme="majorBidi"/>
            <w:sz w:val="28"/>
            <w:szCs w:val="28"/>
          </w:rPr>
        </w:pPr>
        <w:r w:rsidRPr="00B05A3E">
          <w:rPr>
            <w:rFonts w:asciiTheme="majorHAnsi" w:eastAsiaTheme="majorEastAsia" w:hAnsiTheme="majorHAnsi" w:cstheme="majorBidi"/>
            <w:sz w:val="28"/>
            <w:szCs w:val="28"/>
          </w:rPr>
          <w:t>INSTITUTO DE ADMINISTRACIÓN PÚBLICA DEL ESTADO DE CHIAPAS</w:t>
        </w:r>
      </w:p>
    </w:sdtContent>
  </w:sdt>
  <w:p w:rsidR="00B05A3E" w:rsidRDefault="00B05A3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2"/>
  </w:compat>
  <w:rsids>
    <w:rsidRoot w:val="00664D99"/>
    <w:rsid w:val="0008004D"/>
    <w:rsid w:val="00096AC1"/>
    <w:rsid w:val="001D22BE"/>
    <w:rsid w:val="001D60ED"/>
    <w:rsid w:val="003428C5"/>
    <w:rsid w:val="005416D3"/>
    <w:rsid w:val="00664D99"/>
    <w:rsid w:val="006C7C04"/>
    <w:rsid w:val="007548E2"/>
    <w:rsid w:val="007671AF"/>
    <w:rsid w:val="009C76BF"/>
    <w:rsid w:val="00A52523"/>
    <w:rsid w:val="00A568A3"/>
    <w:rsid w:val="00B05A3E"/>
    <w:rsid w:val="00F61B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8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A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5A3E"/>
  </w:style>
  <w:style w:type="paragraph" w:styleId="Piedepgina">
    <w:name w:val="footer"/>
    <w:basedOn w:val="Normal"/>
    <w:link w:val="PiedepginaCar"/>
    <w:uiPriority w:val="99"/>
    <w:unhideWhenUsed/>
    <w:rsid w:val="00B05A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5A3E"/>
  </w:style>
  <w:style w:type="paragraph" w:styleId="Textodeglobo">
    <w:name w:val="Balloon Text"/>
    <w:basedOn w:val="Normal"/>
    <w:link w:val="TextodegloboCar"/>
    <w:uiPriority w:val="99"/>
    <w:semiHidden/>
    <w:unhideWhenUsed/>
    <w:rsid w:val="00B05A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5A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A379AB245448FE9A2115E9F070D492"/>
        <w:category>
          <w:name w:val="General"/>
          <w:gallery w:val="placeholder"/>
        </w:category>
        <w:types>
          <w:type w:val="bbPlcHdr"/>
        </w:types>
        <w:behaviors>
          <w:behavior w:val="content"/>
        </w:behaviors>
        <w:guid w:val="{7FCF3132-DBD0-4099-AC5E-0E1B707239AC}"/>
      </w:docPartPr>
      <w:docPartBody>
        <w:p w:rsidR="00000000" w:rsidRDefault="003A432B" w:rsidP="003A432B">
          <w:pPr>
            <w:pStyle w:val="5EA379AB245448FE9A2115E9F070D492"/>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32B"/>
    <w:rsid w:val="003A4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A379AB245448FE9A2115E9F070D492">
    <w:name w:val="5EA379AB245448FE9A2115E9F070D492"/>
    <w:rsid w:val="003A432B"/>
  </w:style>
  <w:style w:type="paragraph" w:customStyle="1" w:styleId="90A26E398BCB4D8EAA6C0533329BF42B">
    <w:name w:val="90A26E398BCB4D8EAA6C0533329BF42B"/>
    <w:rsid w:val="003A43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A379AB245448FE9A2115E9F070D492">
    <w:name w:val="5EA379AB245448FE9A2115E9F070D492"/>
    <w:rsid w:val="003A432B"/>
  </w:style>
  <w:style w:type="paragraph" w:customStyle="1" w:styleId="90A26E398BCB4D8EAA6C0533329BF42B">
    <w:name w:val="90A26E398BCB4D8EAA6C0533329BF42B"/>
    <w:rsid w:val="003A4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1136</Words>
  <Characters>6253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dc:title>
  <dc:creator>Manuel</dc:creator>
  <cp:lastModifiedBy>Delegación Admtiva</cp:lastModifiedBy>
  <cp:revision>5</cp:revision>
  <dcterms:created xsi:type="dcterms:W3CDTF">2015-09-27T01:35:00Z</dcterms:created>
  <dcterms:modified xsi:type="dcterms:W3CDTF">2015-09-29T19:14:00Z</dcterms:modified>
</cp:coreProperties>
</file>