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21C" w:rsidRDefault="00A240A6" w:rsidP="00DD421C">
      <w:pPr>
        <w:spacing w:after="0" w:line="360" w:lineRule="auto"/>
        <w:jc w:val="both"/>
        <w:rPr>
          <w:rFonts w:ascii="Arial" w:hAnsi="Arial" w:cs="Arial"/>
          <w:b/>
        </w:rPr>
      </w:pPr>
      <w:r w:rsidRPr="00A240A6">
        <w:drawing>
          <wp:anchor distT="0" distB="0" distL="114300" distR="114300" simplePos="0" relativeHeight="251658240" behindDoc="0" locked="0" layoutInCell="1" allowOverlap="1" wp14:anchorId="117CD54D" wp14:editId="7D0FA929">
            <wp:simplePos x="0" y="0"/>
            <wp:positionH relativeFrom="margin">
              <wp:posOffset>-28575</wp:posOffset>
            </wp:positionH>
            <wp:positionV relativeFrom="margin">
              <wp:posOffset>252730</wp:posOffset>
            </wp:positionV>
            <wp:extent cx="8420100" cy="19462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21C">
        <w:rPr>
          <w:rFonts w:ascii="Arial" w:hAnsi="Arial" w:cs="Arial"/>
          <w:b/>
        </w:rPr>
        <w:t xml:space="preserve">Actividad </w:t>
      </w:r>
      <w:r w:rsidR="001321E6">
        <w:rPr>
          <w:rFonts w:ascii="Arial" w:hAnsi="Arial" w:cs="Arial"/>
          <w:b/>
        </w:rPr>
        <w:t>8: E</w:t>
      </w:r>
      <w:r w:rsidR="001321E6" w:rsidRPr="001321E6">
        <w:rPr>
          <w:rFonts w:ascii="Arial" w:hAnsi="Arial" w:cs="Arial"/>
          <w:b/>
        </w:rPr>
        <w:t>laboración de los mecanismos de evaluación del plan estratégico</w:t>
      </w:r>
      <w:r w:rsidR="001321E6">
        <w:rPr>
          <w:rFonts w:ascii="Arial" w:hAnsi="Arial" w:cs="Arial"/>
          <w:b/>
        </w:rPr>
        <w:t>.</w:t>
      </w:r>
      <w:bookmarkStart w:id="0" w:name="_GoBack"/>
      <w:bookmarkEnd w:id="0"/>
    </w:p>
    <w:p w:rsidR="00A240A6" w:rsidRDefault="00A240A6" w:rsidP="00DD421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frecuencia de los indicadores será de manera Anual, 01/2016 al 12/2016.</w:t>
      </w:r>
    </w:p>
    <w:p w:rsidR="00A240A6" w:rsidRDefault="00A240A6" w:rsidP="00DD421C">
      <w:pPr>
        <w:spacing w:after="0" w:line="360" w:lineRule="auto"/>
        <w:jc w:val="both"/>
        <w:rPr>
          <w:rFonts w:ascii="Arial" w:hAnsi="Arial" w:cs="Arial"/>
        </w:rPr>
      </w:pPr>
      <w:r w:rsidRPr="00A240A6">
        <w:rPr>
          <w:rFonts w:ascii="Arial" w:hAnsi="Arial" w:cs="Arial"/>
        </w:rPr>
        <w:t xml:space="preserve">El indicador </w:t>
      </w:r>
      <w:r>
        <w:rPr>
          <w:rFonts w:ascii="Arial" w:hAnsi="Arial" w:cs="Arial"/>
        </w:rPr>
        <w:t>de la primera estrategia pretende</w:t>
      </w:r>
      <w:r w:rsidRPr="00A240A6">
        <w:rPr>
          <w:rFonts w:ascii="Arial" w:hAnsi="Arial" w:cs="Arial"/>
        </w:rPr>
        <w:t xml:space="preserve"> medir el número de empresas sociales apoyadas con financiamiento, entre el número de empresas sociales elegibles  de las recibidas por medio </w:t>
      </w:r>
      <w:r>
        <w:rPr>
          <w:rFonts w:ascii="Arial" w:hAnsi="Arial" w:cs="Arial"/>
        </w:rPr>
        <w:t xml:space="preserve">de </w:t>
      </w:r>
      <w:r w:rsidRPr="00A240A6">
        <w:rPr>
          <w:rFonts w:ascii="Arial" w:hAnsi="Arial" w:cs="Arial"/>
        </w:rPr>
        <w:t>solicitudes de apoyo y/o convocatorias.</w:t>
      </w:r>
    </w:p>
    <w:p w:rsidR="00A240A6" w:rsidRDefault="00A240A6" w:rsidP="00DD421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Riesgos:</w:t>
      </w:r>
    </w:p>
    <w:p w:rsidR="00A240A6" w:rsidRPr="00A240A6" w:rsidRDefault="00A240A6" w:rsidP="00A240A6">
      <w:pPr>
        <w:spacing w:after="0" w:line="360" w:lineRule="auto"/>
        <w:jc w:val="both"/>
        <w:rPr>
          <w:rFonts w:ascii="Arial" w:hAnsi="Arial" w:cs="Arial"/>
        </w:rPr>
      </w:pPr>
      <w:r w:rsidRPr="00A240A6">
        <w:rPr>
          <w:rFonts w:ascii="Arial" w:hAnsi="Arial" w:cs="Arial"/>
        </w:rPr>
        <w:t>Baja capacidad empresarial de organizaciones, grupos de pequeños productores, emprendedores de zonas urbanas y rurales</w:t>
      </w:r>
    </w:p>
    <w:p w:rsidR="00A240A6" w:rsidRPr="00A240A6" w:rsidRDefault="00A240A6" w:rsidP="00A240A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A240A6">
        <w:rPr>
          <w:rFonts w:ascii="Arial" w:hAnsi="Arial" w:cs="Arial"/>
        </w:rPr>
        <w:t>Desconocimiento de</w:t>
      </w:r>
      <w:r w:rsidRPr="00A240A6">
        <w:rPr>
          <w:rFonts w:ascii="Arial" w:hAnsi="Arial" w:cs="Arial"/>
        </w:rPr>
        <w:t xml:space="preserve"> los programas institucionales.</w:t>
      </w:r>
    </w:p>
    <w:p w:rsidR="00A240A6" w:rsidRPr="00A240A6" w:rsidRDefault="00A240A6" w:rsidP="00A240A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A240A6">
        <w:rPr>
          <w:rFonts w:ascii="Arial" w:hAnsi="Arial" w:cs="Arial"/>
        </w:rPr>
        <w:t xml:space="preserve">Bajo acceso a los programas institucionales para la población objetivo </w:t>
      </w:r>
    </w:p>
    <w:p w:rsidR="00A240A6" w:rsidRPr="00A240A6" w:rsidRDefault="00A240A6" w:rsidP="00A240A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A240A6">
        <w:rPr>
          <w:rFonts w:ascii="Arial" w:hAnsi="Arial" w:cs="Arial"/>
        </w:rPr>
        <w:t xml:space="preserve">Bajas capacidades para la gestión de recursos </w:t>
      </w:r>
    </w:p>
    <w:p w:rsidR="00A240A6" w:rsidRPr="00A240A6" w:rsidRDefault="00A240A6" w:rsidP="00A240A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A240A6">
        <w:rPr>
          <w:rFonts w:ascii="Arial" w:hAnsi="Arial" w:cs="Arial"/>
        </w:rPr>
        <w:t>Poco desarrollo de la empresas sociales</w:t>
      </w:r>
    </w:p>
    <w:p w:rsidR="00A240A6" w:rsidRPr="00A240A6" w:rsidRDefault="00A240A6" w:rsidP="00A240A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A240A6">
        <w:rPr>
          <w:rFonts w:ascii="Arial" w:hAnsi="Arial" w:cs="Arial"/>
        </w:rPr>
        <w:t>No cuentan con personal calificado para el desarrollo de actividades empresariales y gerenciales</w:t>
      </w:r>
    </w:p>
    <w:p w:rsidR="00A240A6" w:rsidRPr="00A240A6" w:rsidRDefault="00A240A6" w:rsidP="00A240A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A240A6">
        <w:rPr>
          <w:rFonts w:ascii="Arial" w:hAnsi="Arial" w:cs="Arial"/>
        </w:rPr>
        <w:t>Manejo deficientes de la empresa social</w:t>
      </w:r>
    </w:p>
    <w:p w:rsidR="00A240A6" w:rsidRPr="00A240A6" w:rsidRDefault="00A240A6" w:rsidP="00A240A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A240A6">
        <w:rPr>
          <w:rFonts w:ascii="Arial" w:hAnsi="Arial" w:cs="Arial"/>
        </w:rPr>
        <w:t xml:space="preserve">Baja vinculación interinstitucional </w:t>
      </w:r>
    </w:p>
    <w:p w:rsidR="00A240A6" w:rsidRPr="00A240A6" w:rsidRDefault="00A240A6" w:rsidP="00A240A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A240A6">
        <w:rPr>
          <w:rFonts w:ascii="Arial" w:hAnsi="Arial" w:cs="Arial"/>
        </w:rPr>
        <w:t>Bajo impacto de atención y servicios a empresas sociales</w:t>
      </w:r>
    </w:p>
    <w:p w:rsidR="00A240A6" w:rsidRPr="00A240A6" w:rsidRDefault="00A240A6" w:rsidP="00A240A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A240A6">
        <w:rPr>
          <w:rFonts w:ascii="Arial" w:hAnsi="Arial" w:cs="Arial"/>
        </w:rPr>
        <w:t>Desconocimiento de los diferentes apoyos específicos de las dependencias para el fortalecimiento de capacidades</w:t>
      </w:r>
    </w:p>
    <w:p w:rsidR="00A240A6" w:rsidRPr="00A240A6" w:rsidRDefault="00A240A6" w:rsidP="00DD421C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A240A6">
        <w:rPr>
          <w:rFonts w:ascii="Arial" w:hAnsi="Arial" w:cs="Arial"/>
        </w:rPr>
        <w:t>Bajo desarrollo técnico, organ</w:t>
      </w:r>
      <w:r>
        <w:rPr>
          <w:rFonts w:ascii="Arial" w:hAnsi="Arial" w:cs="Arial"/>
        </w:rPr>
        <w:t>izativo, gerencial y empresaria</w:t>
      </w:r>
    </w:p>
    <w:p w:rsidR="00A240A6" w:rsidRDefault="00A240A6" w:rsidP="00DD421C">
      <w:pPr>
        <w:spacing w:after="0" w:line="360" w:lineRule="auto"/>
        <w:jc w:val="both"/>
        <w:rPr>
          <w:rFonts w:ascii="Arial" w:hAnsi="Arial" w:cs="Arial"/>
          <w:b/>
        </w:rPr>
      </w:pPr>
    </w:p>
    <w:p w:rsidR="00DD0E8B" w:rsidRPr="00F50A5A" w:rsidRDefault="00DD0E8B" w:rsidP="00DD0E8B">
      <w:pPr>
        <w:pStyle w:val="Ttulo5"/>
        <w:rPr>
          <w:b/>
          <w:sz w:val="28"/>
        </w:rPr>
      </w:pPr>
      <w:r w:rsidRPr="00F50A5A">
        <w:rPr>
          <w:b/>
          <w:sz w:val="28"/>
        </w:rPr>
        <w:t>ACTIVIDAD:</w:t>
      </w:r>
    </w:p>
    <w:tbl>
      <w:tblPr>
        <w:tblpPr w:leftFromText="141" w:rightFromText="141" w:horzAnchor="page" w:tblpX="1" w:tblpY="1099"/>
        <w:tblW w:w="1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9"/>
        <w:gridCol w:w="1345"/>
        <w:gridCol w:w="1697"/>
        <w:gridCol w:w="1047"/>
        <w:gridCol w:w="454"/>
        <w:gridCol w:w="392"/>
        <w:gridCol w:w="397"/>
        <w:gridCol w:w="394"/>
        <w:gridCol w:w="1267"/>
        <w:gridCol w:w="1017"/>
        <w:gridCol w:w="1869"/>
        <w:gridCol w:w="1432"/>
        <w:gridCol w:w="967"/>
        <w:gridCol w:w="941"/>
        <w:gridCol w:w="1174"/>
        <w:gridCol w:w="1538"/>
      </w:tblGrid>
      <w:tr w:rsidR="00DD0E8B" w:rsidRPr="00D45CA4" w:rsidTr="00DD0E8B">
        <w:trPr>
          <w:trHeight w:val="330"/>
        </w:trPr>
        <w:tc>
          <w:tcPr>
            <w:tcW w:w="17560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D0E8B" w:rsidRPr="00D45CA4" w:rsidTr="00DD0E8B">
        <w:trPr>
          <w:trHeight w:val="315"/>
        </w:trPr>
        <w:tc>
          <w:tcPr>
            <w:tcW w:w="17560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u w:val="single"/>
              </w:rPr>
            </w:pPr>
            <w:r w:rsidRPr="00D45CA4">
              <w:rPr>
                <w:rFonts w:ascii="Calibri" w:hAnsi="Calibri" w:cs="Arial"/>
                <w:b/>
                <w:bCs/>
                <w:color w:val="000000"/>
                <w:sz w:val="18"/>
                <w:szCs w:val="18"/>
                <w:u w:val="single"/>
              </w:rPr>
              <w:t>INDICADOR</w:t>
            </w:r>
          </w:p>
        </w:tc>
      </w:tr>
      <w:tr w:rsidR="00DD0E8B" w:rsidRPr="00D45CA4" w:rsidTr="00DD0E8B">
        <w:trPr>
          <w:trHeight w:val="561"/>
        </w:trPr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RESUMEN NARATIVO</w:t>
            </w:r>
          </w:p>
        </w:tc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NOMBRE DEL INDICADOR</w:t>
            </w:r>
          </w:p>
        </w:tc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DESCRIPCIÓN CUALITATIVA</w:t>
            </w:r>
          </w:p>
          <w:p w:rsidR="00DD0E8B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NUM/DEN  </w:t>
            </w:r>
          </w:p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( FORMULA)</w:t>
            </w: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CANTIDAD</w:t>
            </w:r>
          </w:p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NUM/DEN</w:t>
            </w:r>
          </w:p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PROGRAMACION TRIMESTRAL</w:t>
            </w:r>
          </w:p>
        </w:tc>
        <w:tc>
          <w:tcPr>
            <w:tcW w:w="12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META DE INDICADORES</w:t>
            </w:r>
          </w:p>
        </w:tc>
        <w:tc>
          <w:tcPr>
            <w:tcW w:w="1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FRECUENCIA</w:t>
            </w:r>
          </w:p>
        </w:tc>
        <w:tc>
          <w:tcPr>
            <w:tcW w:w="1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TIPO Y DIMENSION </w:t>
            </w:r>
          </w:p>
        </w:tc>
        <w:tc>
          <w:tcPr>
            <w:tcW w:w="1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INTERPRETACIÓN</w:t>
            </w:r>
          </w:p>
        </w:tc>
        <w:tc>
          <w:tcPr>
            <w:tcW w:w="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UNIDAD DE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MEDIDA</w:t>
            </w:r>
          </w:p>
        </w:tc>
        <w:tc>
          <w:tcPr>
            <w:tcW w:w="9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AÑO / VALOR LÍNEA BASE</w:t>
            </w:r>
          </w:p>
        </w:tc>
        <w:tc>
          <w:tcPr>
            <w:tcW w:w="11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MEDIOS DE VERIFICACIÓN </w:t>
            </w:r>
          </w:p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SUPUESTOS </w:t>
            </w:r>
          </w:p>
        </w:tc>
      </w:tr>
      <w:tr w:rsidR="00DD0E8B" w:rsidRPr="00D45CA4" w:rsidTr="00DD0E8B">
        <w:trPr>
          <w:trHeight w:val="142"/>
        </w:trPr>
        <w:tc>
          <w:tcPr>
            <w:tcW w:w="162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5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0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II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III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IV</w:t>
            </w:r>
          </w:p>
        </w:tc>
        <w:tc>
          <w:tcPr>
            <w:tcW w:w="12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6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3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3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D0E8B" w:rsidRPr="00D45CA4" w:rsidTr="00DD0E8B">
        <w:trPr>
          <w:trHeight w:val="945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Recibir solicitudes de apoyo para capacitación a empresas sociales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Porcentaje de Solicitudes  atendidas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proofErr w:type="spellStart"/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Numero</w:t>
            </w:r>
            <w:proofErr w:type="spellEnd"/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 xml:space="preserve"> de solicitudes atendidas/</w:t>
            </w:r>
            <w:proofErr w:type="spellStart"/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Numero</w:t>
            </w:r>
            <w:proofErr w:type="spellEnd"/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 xml:space="preserve"> de solicitudes programadas al año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22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100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Trimestral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Gestión/eficiencia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Mide el número de solicitudes atendidas de apoyo para capacitación de empresas sociales.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color w:val="000000"/>
                <w:sz w:val="16"/>
                <w:szCs w:val="16"/>
              </w:rPr>
              <w:t>solicitud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01/01/2016 AL 31/12/2016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Acuses de recibo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Existe interés por parte de las empresas sociales  para acceder a financiamiento.</w:t>
            </w:r>
          </w:p>
        </w:tc>
      </w:tr>
      <w:tr w:rsidR="00DD0E8B" w:rsidRPr="00D45CA4" w:rsidTr="00DD0E8B">
        <w:trPr>
          <w:trHeight w:val="689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 xml:space="preserve"> Realizar reuniones con empresas sociales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 w:cs="Arial"/>
                <w:color w:val="000000"/>
                <w:sz w:val="16"/>
                <w:szCs w:val="16"/>
              </w:rPr>
              <w:t>Reuniones realizadas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 w:cs="Arial"/>
                <w:color w:val="000000"/>
                <w:sz w:val="16"/>
                <w:szCs w:val="16"/>
              </w:rPr>
              <w:t>Número de reuniones realizadas/Número de reuniones programadas al año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100</w:t>
            </w: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Trimestral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 w:cs="Arial"/>
                <w:color w:val="000000"/>
                <w:sz w:val="16"/>
                <w:szCs w:val="16"/>
              </w:rPr>
              <w:t>Gestión/eficiencia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 xml:space="preserve">Mide </w:t>
            </w:r>
            <w:proofErr w:type="spellStart"/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numero</w:t>
            </w:r>
            <w:proofErr w:type="spellEnd"/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 xml:space="preserve"> de reuniones realizadas con empresas sociales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Reunión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01/01/2016 AL 31/12/2016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Informes de comisión/ /Minutas de reuniones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Existe continuidad en las fuentes de financiamiento.</w:t>
            </w:r>
          </w:p>
        </w:tc>
      </w:tr>
      <w:tr w:rsidR="00DD0E8B" w:rsidRPr="00D45CA4" w:rsidTr="00DD0E8B">
        <w:trPr>
          <w:trHeight w:val="941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Capacitación para el desarrollo organizativo, técnico, económico y gerencial de empresas sociales y empresarios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 w:cs="Arial"/>
                <w:color w:val="000000"/>
                <w:sz w:val="16"/>
                <w:szCs w:val="16"/>
              </w:rPr>
              <w:t xml:space="preserve"> Eventos de capacitación realizados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 w:cs="Arial"/>
                <w:color w:val="000000"/>
                <w:sz w:val="16"/>
                <w:szCs w:val="16"/>
              </w:rPr>
              <w:t>Numero de eventos de capacitación realizados/Número de  eventos de capacitación programadas al año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100</w:t>
            </w: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Trimestral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 w:cs="Arial"/>
                <w:color w:val="000000"/>
                <w:sz w:val="16"/>
                <w:szCs w:val="16"/>
              </w:rPr>
              <w:t>Gestión/eficiencia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Mide Numero de  eventos  realizados con empresas sociales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 xml:space="preserve">Curso y/o taller 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01/01/2016 AL 31/12/2016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Contratos, documentos internos, evidencias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Existe continuidad en las fuentes de financiamiento.</w:t>
            </w:r>
          </w:p>
        </w:tc>
      </w:tr>
      <w:tr w:rsidR="00DD0E8B" w:rsidRPr="00D45CA4" w:rsidTr="00DD0E8B">
        <w:trPr>
          <w:trHeight w:val="1138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Asesoría a empresas sociales,  para el desarrollo organizativo, técnico, económico, gerencial y la integración de expedientes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 w:cs="Arial"/>
                <w:color w:val="000000"/>
                <w:sz w:val="16"/>
                <w:szCs w:val="16"/>
              </w:rPr>
              <w:t xml:space="preserve"> Eventos de asesoría realizados con empresas sociales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 w:cs="Arial"/>
                <w:color w:val="000000"/>
                <w:sz w:val="16"/>
                <w:szCs w:val="16"/>
              </w:rPr>
              <w:t>Número de eventos de asesoría realizados/Número de eventos de Asesorías programadas al año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45CA4">
              <w:rPr>
                <w:rFonts w:ascii="Calibri" w:hAnsi="Calibri"/>
                <w:color w:val="000000"/>
                <w:sz w:val="16"/>
                <w:szCs w:val="16"/>
              </w:rPr>
              <w:t>Trimestral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 w:cs="Arial"/>
                <w:color w:val="000000"/>
                <w:sz w:val="16"/>
                <w:szCs w:val="16"/>
              </w:rPr>
              <w:t>Gestión/eficiencia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Mide Numero de  eventos de asesorías  realizados con empresas sociales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 xml:space="preserve">Asesoría 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01/01/2016 AL 31/12/2016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Contratos, documentos internos, evidencias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Existe continuidad en las fuentes de financiamiento.</w:t>
            </w:r>
          </w:p>
        </w:tc>
      </w:tr>
      <w:tr w:rsidR="00DD0E8B" w:rsidRPr="00D45CA4" w:rsidTr="00DD0E8B">
        <w:trPr>
          <w:trHeight w:val="997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lastRenderedPageBreak/>
              <w:t>Vinculación con instituciones para el fortalecimiento de empresas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Gestión de convenios de colaboración con instituciones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Número de convenios gestionados/Número de gestión de convenios programadas al año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100</w:t>
            </w: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Trimestral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Gestión/eficiencia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Mide Numero de  gestión de convenios con instituciones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Gestión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01/01/2016 AL 31/12/2016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Contratos, documentos internos, evidencias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Existe continuidad en las fuentes de financiamiento.</w:t>
            </w:r>
          </w:p>
        </w:tc>
      </w:tr>
      <w:tr w:rsidR="00DD0E8B" w:rsidRPr="00D45CA4" w:rsidTr="00DD0E8B">
        <w:trPr>
          <w:trHeight w:val="117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Promoción de los programas instituciones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Participar en ferias, eventos, congresos y convenciones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Numero de eventos programados/Número de eventos programadas al año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center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jc w:val="right"/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Trimestral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Gestión/eficiencia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Mide Numero de  eventos realizados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 xml:space="preserve">Evento 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01/01/2016 AL 31/12/2016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Tarjetas informativas, fotografías, informe de comisión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8B" w:rsidRPr="00D45CA4" w:rsidRDefault="00DD0E8B" w:rsidP="00DD0E8B">
            <w:pPr>
              <w:rPr>
                <w:rFonts w:ascii="HelveticaNeueLT Std Lt Cn" w:hAnsi="HelveticaNeueLT Std Lt Cn"/>
                <w:color w:val="000000"/>
                <w:sz w:val="16"/>
                <w:szCs w:val="16"/>
              </w:rPr>
            </w:pPr>
            <w:r w:rsidRPr="00D45CA4">
              <w:rPr>
                <w:rFonts w:ascii="HelveticaNeueLT Std Lt Cn" w:hAnsi="HelveticaNeueLT Std Lt Cn"/>
                <w:color w:val="000000"/>
                <w:sz w:val="16"/>
                <w:szCs w:val="16"/>
              </w:rPr>
              <w:t>Existe interés por parte de las empresas de conocer los programas institucionales</w:t>
            </w:r>
          </w:p>
        </w:tc>
      </w:tr>
    </w:tbl>
    <w:p w:rsidR="00DD0E8B" w:rsidRDefault="00DD0E8B" w:rsidP="00DD0E8B">
      <w:pPr>
        <w:rPr>
          <w:rFonts w:ascii="Calibri" w:hAnsi="Calibri" w:cs="Arial"/>
          <w:b/>
        </w:rPr>
      </w:pPr>
    </w:p>
    <w:p w:rsidR="00A240A6" w:rsidRDefault="00A240A6" w:rsidP="00DD421C">
      <w:pPr>
        <w:spacing w:after="0" w:line="360" w:lineRule="auto"/>
        <w:jc w:val="both"/>
        <w:rPr>
          <w:rFonts w:ascii="Arial" w:hAnsi="Arial" w:cs="Arial"/>
          <w:b/>
        </w:rPr>
      </w:pPr>
    </w:p>
    <w:p w:rsidR="00A240A6" w:rsidRDefault="00A240A6" w:rsidP="00DD421C">
      <w:pPr>
        <w:spacing w:after="0" w:line="360" w:lineRule="auto"/>
        <w:jc w:val="both"/>
        <w:rPr>
          <w:rFonts w:ascii="Arial" w:hAnsi="Arial" w:cs="Arial"/>
          <w:b/>
        </w:rPr>
      </w:pPr>
    </w:p>
    <w:p w:rsidR="00A240A6" w:rsidRPr="00F83E4A" w:rsidRDefault="00A240A6" w:rsidP="00DD421C">
      <w:pPr>
        <w:spacing w:after="0" w:line="360" w:lineRule="auto"/>
        <w:jc w:val="both"/>
        <w:rPr>
          <w:rFonts w:ascii="Arial" w:hAnsi="Arial" w:cs="Arial"/>
          <w:b/>
        </w:rPr>
      </w:pPr>
    </w:p>
    <w:sectPr w:rsidR="00A240A6" w:rsidRPr="00F83E4A" w:rsidSect="00A240A6">
      <w:headerReference w:type="default" r:id="rId9"/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561" w:rsidRDefault="006A4561" w:rsidP="00F83E4A">
      <w:pPr>
        <w:spacing w:after="0" w:line="240" w:lineRule="auto"/>
      </w:pPr>
      <w:r>
        <w:separator/>
      </w:r>
    </w:p>
  </w:endnote>
  <w:endnote w:type="continuationSeparator" w:id="0">
    <w:p w:rsidR="006A4561" w:rsidRDefault="006A4561" w:rsidP="00F8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tham">
    <w:altName w:val="Goth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 Lt Cn">
    <w:panose1 w:val="020B0406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561" w:rsidRDefault="006A4561" w:rsidP="00F83E4A">
      <w:pPr>
        <w:spacing w:after="0" w:line="240" w:lineRule="auto"/>
      </w:pPr>
      <w:r>
        <w:separator/>
      </w:r>
    </w:p>
  </w:footnote>
  <w:footnote w:type="continuationSeparator" w:id="0">
    <w:p w:rsidR="006A4561" w:rsidRDefault="006A4561" w:rsidP="00F83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E4A" w:rsidRPr="00F83E4A" w:rsidRDefault="00F83E4A" w:rsidP="00F83E4A">
    <w:pPr>
      <w:pStyle w:val="Encabezado"/>
      <w:jc w:val="right"/>
      <w:rPr>
        <w:sz w:val="24"/>
      </w:rPr>
    </w:pPr>
    <w:proofErr w:type="spellStart"/>
    <w:r w:rsidRPr="00F83E4A">
      <w:rPr>
        <w:sz w:val="24"/>
      </w:rPr>
      <w:t>Enoch</w:t>
    </w:r>
    <w:proofErr w:type="spellEnd"/>
    <w:r w:rsidRPr="00F83E4A">
      <w:rPr>
        <w:sz w:val="24"/>
      </w:rPr>
      <w:t xml:space="preserve"> Araujo Zavaleta</w:t>
    </w:r>
  </w:p>
  <w:p w:rsidR="00F83E4A" w:rsidRPr="00F83E4A" w:rsidRDefault="00F83E4A" w:rsidP="00F83E4A">
    <w:pPr>
      <w:pStyle w:val="Encabezado"/>
      <w:jc w:val="right"/>
      <w:rPr>
        <w:sz w:val="24"/>
      </w:rPr>
    </w:pPr>
    <w:r w:rsidRPr="00F83E4A">
      <w:rPr>
        <w:sz w:val="24"/>
      </w:rPr>
      <w:t>20150800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35458"/>
    <w:multiLevelType w:val="hybridMultilevel"/>
    <w:tmpl w:val="12B29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A4362"/>
    <w:multiLevelType w:val="hybridMultilevel"/>
    <w:tmpl w:val="92843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64BAD"/>
    <w:multiLevelType w:val="hybridMultilevel"/>
    <w:tmpl w:val="F740003A"/>
    <w:lvl w:ilvl="0" w:tplc="080A000F">
      <w:start w:val="1"/>
      <w:numFmt w:val="decimal"/>
      <w:lvlText w:val="%1."/>
      <w:lvlJc w:val="left"/>
      <w:pPr>
        <w:ind w:left="764" w:hanging="360"/>
      </w:pPr>
    </w:lvl>
    <w:lvl w:ilvl="1" w:tplc="080A0019" w:tentative="1">
      <w:start w:val="1"/>
      <w:numFmt w:val="lowerLetter"/>
      <w:lvlText w:val="%2."/>
      <w:lvlJc w:val="left"/>
      <w:pPr>
        <w:ind w:left="1484" w:hanging="360"/>
      </w:pPr>
    </w:lvl>
    <w:lvl w:ilvl="2" w:tplc="080A001B" w:tentative="1">
      <w:start w:val="1"/>
      <w:numFmt w:val="lowerRoman"/>
      <w:lvlText w:val="%3."/>
      <w:lvlJc w:val="right"/>
      <w:pPr>
        <w:ind w:left="2204" w:hanging="180"/>
      </w:pPr>
    </w:lvl>
    <w:lvl w:ilvl="3" w:tplc="080A000F" w:tentative="1">
      <w:start w:val="1"/>
      <w:numFmt w:val="decimal"/>
      <w:lvlText w:val="%4."/>
      <w:lvlJc w:val="left"/>
      <w:pPr>
        <w:ind w:left="2924" w:hanging="360"/>
      </w:pPr>
    </w:lvl>
    <w:lvl w:ilvl="4" w:tplc="080A0019" w:tentative="1">
      <w:start w:val="1"/>
      <w:numFmt w:val="lowerLetter"/>
      <w:lvlText w:val="%5."/>
      <w:lvlJc w:val="left"/>
      <w:pPr>
        <w:ind w:left="3644" w:hanging="360"/>
      </w:pPr>
    </w:lvl>
    <w:lvl w:ilvl="5" w:tplc="080A001B" w:tentative="1">
      <w:start w:val="1"/>
      <w:numFmt w:val="lowerRoman"/>
      <w:lvlText w:val="%6."/>
      <w:lvlJc w:val="right"/>
      <w:pPr>
        <w:ind w:left="4364" w:hanging="180"/>
      </w:pPr>
    </w:lvl>
    <w:lvl w:ilvl="6" w:tplc="080A000F" w:tentative="1">
      <w:start w:val="1"/>
      <w:numFmt w:val="decimal"/>
      <w:lvlText w:val="%7."/>
      <w:lvlJc w:val="left"/>
      <w:pPr>
        <w:ind w:left="5084" w:hanging="360"/>
      </w:pPr>
    </w:lvl>
    <w:lvl w:ilvl="7" w:tplc="080A0019" w:tentative="1">
      <w:start w:val="1"/>
      <w:numFmt w:val="lowerLetter"/>
      <w:lvlText w:val="%8."/>
      <w:lvlJc w:val="left"/>
      <w:pPr>
        <w:ind w:left="5804" w:hanging="360"/>
      </w:pPr>
    </w:lvl>
    <w:lvl w:ilvl="8" w:tplc="080A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>
    <w:nsid w:val="572D27B7"/>
    <w:multiLevelType w:val="hybridMultilevel"/>
    <w:tmpl w:val="A9746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1C"/>
    <w:rsid w:val="0000109E"/>
    <w:rsid w:val="000022B3"/>
    <w:rsid w:val="00003EFA"/>
    <w:rsid w:val="00006A71"/>
    <w:rsid w:val="0000704B"/>
    <w:rsid w:val="00013D83"/>
    <w:rsid w:val="000147AC"/>
    <w:rsid w:val="000151F0"/>
    <w:rsid w:val="0001521D"/>
    <w:rsid w:val="00015384"/>
    <w:rsid w:val="00020436"/>
    <w:rsid w:val="000247F1"/>
    <w:rsid w:val="00025E79"/>
    <w:rsid w:val="00026672"/>
    <w:rsid w:val="00026C5A"/>
    <w:rsid w:val="000331F1"/>
    <w:rsid w:val="00037888"/>
    <w:rsid w:val="00040F9B"/>
    <w:rsid w:val="00041DEB"/>
    <w:rsid w:val="00042226"/>
    <w:rsid w:val="00042272"/>
    <w:rsid w:val="0004307D"/>
    <w:rsid w:val="00044763"/>
    <w:rsid w:val="0004504C"/>
    <w:rsid w:val="00051DC3"/>
    <w:rsid w:val="00055594"/>
    <w:rsid w:val="00060D07"/>
    <w:rsid w:val="000614F3"/>
    <w:rsid w:val="00063374"/>
    <w:rsid w:val="000638F1"/>
    <w:rsid w:val="00065692"/>
    <w:rsid w:val="00067891"/>
    <w:rsid w:val="00070133"/>
    <w:rsid w:val="000745E6"/>
    <w:rsid w:val="00077FD9"/>
    <w:rsid w:val="00080F30"/>
    <w:rsid w:val="00081531"/>
    <w:rsid w:val="0008184D"/>
    <w:rsid w:val="0008313B"/>
    <w:rsid w:val="00084AB3"/>
    <w:rsid w:val="000852CA"/>
    <w:rsid w:val="00094D6C"/>
    <w:rsid w:val="0009597A"/>
    <w:rsid w:val="0009774B"/>
    <w:rsid w:val="000A092D"/>
    <w:rsid w:val="000A3309"/>
    <w:rsid w:val="000A7AAA"/>
    <w:rsid w:val="000B00F5"/>
    <w:rsid w:val="000B07F0"/>
    <w:rsid w:val="000B1E22"/>
    <w:rsid w:val="000B6365"/>
    <w:rsid w:val="000B6865"/>
    <w:rsid w:val="000B7C33"/>
    <w:rsid w:val="000C0EB9"/>
    <w:rsid w:val="000C10A8"/>
    <w:rsid w:val="000C4B6A"/>
    <w:rsid w:val="000D1500"/>
    <w:rsid w:val="000D3E0D"/>
    <w:rsid w:val="000D45DF"/>
    <w:rsid w:val="000E08D7"/>
    <w:rsid w:val="000E0C4B"/>
    <w:rsid w:val="000E2821"/>
    <w:rsid w:val="000E64B6"/>
    <w:rsid w:val="000E6749"/>
    <w:rsid w:val="000F1027"/>
    <w:rsid w:val="000F3028"/>
    <w:rsid w:val="000F34DA"/>
    <w:rsid w:val="000F54B8"/>
    <w:rsid w:val="000F6A63"/>
    <w:rsid w:val="000F7484"/>
    <w:rsid w:val="000F7722"/>
    <w:rsid w:val="00105651"/>
    <w:rsid w:val="0010607C"/>
    <w:rsid w:val="00107E51"/>
    <w:rsid w:val="0011049F"/>
    <w:rsid w:val="001114C1"/>
    <w:rsid w:val="001144E1"/>
    <w:rsid w:val="001161CD"/>
    <w:rsid w:val="00116249"/>
    <w:rsid w:val="001245C4"/>
    <w:rsid w:val="0012732E"/>
    <w:rsid w:val="001317D0"/>
    <w:rsid w:val="001321E6"/>
    <w:rsid w:val="00132A62"/>
    <w:rsid w:val="001345C0"/>
    <w:rsid w:val="00136AD4"/>
    <w:rsid w:val="00137F8C"/>
    <w:rsid w:val="00141346"/>
    <w:rsid w:val="001441D0"/>
    <w:rsid w:val="001504AE"/>
    <w:rsid w:val="00150A29"/>
    <w:rsid w:val="00153517"/>
    <w:rsid w:val="00154693"/>
    <w:rsid w:val="00155FD7"/>
    <w:rsid w:val="0016685A"/>
    <w:rsid w:val="0017255C"/>
    <w:rsid w:val="00175905"/>
    <w:rsid w:val="0017682B"/>
    <w:rsid w:val="001779AC"/>
    <w:rsid w:val="00180E66"/>
    <w:rsid w:val="00183DC4"/>
    <w:rsid w:val="001877FB"/>
    <w:rsid w:val="00190E16"/>
    <w:rsid w:val="0019550D"/>
    <w:rsid w:val="001A350B"/>
    <w:rsid w:val="001A3747"/>
    <w:rsid w:val="001A7AAF"/>
    <w:rsid w:val="001B57B6"/>
    <w:rsid w:val="001B650A"/>
    <w:rsid w:val="001B7E96"/>
    <w:rsid w:val="001C4AD7"/>
    <w:rsid w:val="001C4E1D"/>
    <w:rsid w:val="001C7D05"/>
    <w:rsid w:val="001D0D99"/>
    <w:rsid w:val="001D129A"/>
    <w:rsid w:val="001D3646"/>
    <w:rsid w:val="001D380F"/>
    <w:rsid w:val="001E097E"/>
    <w:rsid w:val="001E16A8"/>
    <w:rsid w:val="001E58F2"/>
    <w:rsid w:val="001F0954"/>
    <w:rsid w:val="001F15B9"/>
    <w:rsid w:val="001F2D65"/>
    <w:rsid w:val="002016E1"/>
    <w:rsid w:val="00203E98"/>
    <w:rsid w:val="002049D0"/>
    <w:rsid w:val="00210BAE"/>
    <w:rsid w:val="002147B5"/>
    <w:rsid w:val="002149F2"/>
    <w:rsid w:val="00222507"/>
    <w:rsid w:val="00223844"/>
    <w:rsid w:val="00227281"/>
    <w:rsid w:val="00230500"/>
    <w:rsid w:val="002356BB"/>
    <w:rsid w:val="00242350"/>
    <w:rsid w:val="002432CE"/>
    <w:rsid w:val="002435AD"/>
    <w:rsid w:val="00245176"/>
    <w:rsid w:val="00253C27"/>
    <w:rsid w:val="00253E04"/>
    <w:rsid w:val="00255F8B"/>
    <w:rsid w:val="0026138F"/>
    <w:rsid w:val="002649E6"/>
    <w:rsid w:val="00266F83"/>
    <w:rsid w:val="00273585"/>
    <w:rsid w:val="00274F5B"/>
    <w:rsid w:val="002752E7"/>
    <w:rsid w:val="00280515"/>
    <w:rsid w:val="00284CE3"/>
    <w:rsid w:val="00291F01"/>
    <w:rsid w:val="00292E52"/>
    <w:rsid w:val="002A2462"/>
    <w:rsid w:val="002A2E48"/>
    <w:rsid w:val="002A4D95"/>
    <w:rsid w:val="002A535A"/>
    <w:rsid w:val="002A5D1D"/>
    <w:rsid w:val="002B3D13"/>
    <w:rsid w:val="002B4426"/>
    <w:rsid w:val="002B5C70"/>
    <w:rsid w:val="002C3C21"/>
    <w:rsid w:val="002C3D3A"/>
    <w:rsid w:val="002C5219"/>
    <w:rsid w:val="002D1531"/>
    <w:rsid w:val="002D2B2A"/>
    <w:rsid w:val="002D57BB"/>
    <w:rsid w:val="002D6B16"/>
    <w:rsid w:val="002D7B29"/>
    <w:rsid w:val="002E4C20"/>
    <w:rsid w:val="002E5F47"/>
    <w:rsid w:val="002F266D"/>
    <w:rsid w:val="002F27CF"/>
    <w:rsid w:val="003016CA"/>
    <w:rsid w:val="00303EDC"/>
    <w:rsid w:val="00305401"/>
    <w:rsid w:val="0031191D"/>
    <w:rsid w:val="00313051"/>
    <w:rsid w:val="00316D88"/>
    <w:rsid w:val="00317AC8"/>
    <w:rsid w:val="0032423E"/>
    <w:rsid w:val="003341CE"/>
    <w:rsid w:val="003342B4"/>
    <w:rsid w:val="003441DD"/>
    <w:rsid w:val="0034576E"/>
    <w:rsid w:val="00346C2A"/>
    <w:rsid w:val="00347542"/>
    <w:rsid w:val="0035012C"/>
    <w:rsid w:val="00351CFD"/>
    <w:rsid w:val="00352E10"/>
    <w:rsid w:val="00356D70"/>
    <w:rsid w:val="00361561"/>
    <w:rsid w:val="00362E32"/>
    <w:rsid w:val="0036370B"/>
    <w:rsid w:val="0036447E"/>
    <w:rsid w:val="00364F41"/>
    <w:rsid w:val="00365BD0"/>
    <w:rsid w:val="00370B8E"/>
    <w:rsid w:val="003719CD"/>
    <w:rsid w:val="0038725F"/>
    <w:rsid w:val="0038735E"/>
    <w:rsid w:val="00390CB5"/>
    <w:rsid w:val="00391341"/>
    <w:rsid w:val="00393B11"/>
    <w:rsid w:val="00394040"/>
    <w:rsid w:val="003953AB"/>
    <w:rsid w:val="003A0C7E"/>
    <w:rsid w:val="003A3C35"/>
    <w:rsid w:val="003A3F8B"/>
    <w:rsid w:val="003A41BC"/>
    <w:rsid w:val="003A480B"/>
    <w:rsid w:val="003A4883"/>
    <w:rsid w:val="003A5DB0"/>
    <w:rsid w:val="003A68E9"/>
    <w:rsid w:val="003B2BD7"/>
    <w:rsid w:val="003B5D9C"/>
    <w:rsid w:val="003C012D"/>
    <w:rsid w:val="003C215F"/>
    <w:rsid w:val="003C31D4"/>
    <w:rsid w:val="003C3C96"/>
    <w:rsid w:val="003C4C29"/>
    <w:rsid w:val="003D02B6"/>
    <w:rsid w:val="003D2E65"/>
    <w:rsid w:val="003D3706"/>
    <w:rsid w:val="003D3823"/>
    <w:rsid w:val="003D7005"/>
    <w:rsid w:val="003D72CE"/>
    <w:rsid w:val="003E1BD5"/>
    <w:rsid w:val="003E57E9"/>
    <w:rsid w:val="003E5BE4"/>
    <w:rsid w:val="003E72E9"/>
    <w:rsid w:val="003E730F"/>
    <w:rsid w:val="003F23A8"/>
    <w:rsid w:val="003F33EF"/>
    <w:rsid w:val="004020FA"/>
    <w:rsid w:val="0040477F"/>
    <w:rsid w:val="00410611"/>
    <w:rsid w:val="00410E2B"/>
    <w:rsid w:val="00411510"/>
    <w:rsid w:val="00426CD1"/>
    <w:rsid w:val="00427F3E"/>
    <w:rsid w:val="00433E2D"/>
    <w:rsid w:val="00434649"/>
    <w:rsid w:val="00435CBF"/>
    <w:rsid w:val="004376CE"/>
    <w:rsid w:val="0044226F"/>
    <w:rsid w:val="00445279"/>
    <w:rsid w:val="00445C92"/>
    <w:rsid w:val="00446C00"/>
    <w:rsid w:val="00454759"/>
    <w:rsid w:val="00457C0E"/>
    <w:rsid w:val="004622D3"/>
    <w:rsid w:val="00463C2D"/>
    <w:rsid w:val="004676BF"/>
    <w:rsid w:val="00470E5C"/>
    <w:rsid w:val="00473FC2"/>
    <w:rsid w:val="0048026B"/>
    <w:rsid w:val="004819C6"/>
    <w:rsid w:val="00482248"/>
    <w:rsid w:val="0048224F"/>
    <w:rsid w:val="004870BC"/>
    <w:rsid w:val="00494E9E"/>
    <w:rsid w:val="004A4E20"/>
    <w:rsid w:val="004A6EA1"/>
    <w:rsid w:val="004B245D"/>
    <w:rsid w:val="004B35C1"/>
    <w:rsid w:val="004B7B01"/>
    <w:rsid w:val="004C39C4"/>
    <w:rsid w:val="004D23B8"/>
    <w:rsid w:val="004D2D96"/>
    <w:rsid w:val="004D58AA"/>
    <w:rsid w:val="004D65D3"/>
    <w:rsid w:val="004D7232"/>
    <w:rsid w:val="004E0289"/>
    <w:rsid w:val="004E157B"/>
    <w:rsid w:val="004F01E4"/>
    <w:rsid w:val="004F0873"/>
    <w:rsid w:val="004F47C8"/>
    <w:rsid w:val="004F5F11"/>
    <w:rsid w:val="00501E2C"/>
    <w:rsid w:val="00503722"/>
    <w:rsid w:val="00503FFB"/>
    <w:rsid w:val="00507F72"/>
    <w:rsid w:val="005114E1"/>
    <w:rsid w:val="00514367"/>
    <w:rsid w:val="00515727"/>
    <w:rsid w:val="005161F3"/>
    <w:rsid w:val="00516302"/>
    <w:rsid w:val="005163A4"/>
    <w:rsid w:val="00520B03"/>
    <w:rsid w:val="00522EDD"/>
    <w:rsid w:val="0052478C"/>
    <w:rsid w:val="0052592D"/>
    <w:rsid w:val="00526B2F"/>
    <w:rsid w:val="00532645"/>
    <w:rsid w:val="00534B7D"/>
    <w:rsid w:val="00540FE7"/>
    <w:rsid w:val="005433A7"/>
    <w:rsid w:val="005449B4"/>
    <w:rsid w:val="005503BD"/>
    <w:rsid w:val="0055196E"/>
    <w:rsid w:val="00554AFC"/>
    <w:rsid w:val="00556465"/>
    <w:rsid w:val="00560546"/>
    <w:rsid w:val="005609D0"/>
    <w:rsid w:val="00561DAE"/>
    <w:rsid w:val="005641D3"/>
    <w:rsid w:val="00565191"/>
    <w:rsid w:val="0056527A"/>
    <w:rsid w:val="005703B8"/>
    <w:rsid w:val="00570BD6"/>
    <w:rsid w:val="005746E8"/>
    <w:rsid w:val="0058127A"/>
    <w:rsid w:val="005814C1"/>
    <w:rsid w:val="00583034"/>
    <w:rsid w:val="00584AF8"/>
    <w:rsid w:val="00587BBB"/>
    <w:rsid w:val="00591105"/>
    <w:rsid w:val="00592160"/>
    <w:rsid w:val="005A0A60"/>
    <w:rsid w:val="005A2BCF"/>
    <w:rsid w:val="005A3A20"/>
    <w:rsid w:val="005A6718"/>
    <w:rsid w:val="005B2D46"/>
    <w:rsid w:val="005B5CE9"/>
    <w:rsid w:val="005C2A2A"/>
    <w:rsid w:val="005C30DF"/>
    <w:rsid w:val="005C3A8E"/>
    <w:rsid w:val="005C4840"/>
    <w:rsid w:val="005C74B2"/>
    <w:rsid w:val="005D0E94"/>
    <w:rsid w:val="005E562A"/>
    <w:rsid w:val="005E6329"/>
    <w:rsid w:val="005E6B94"/>
    <w:rsid w:val="005E6CA3"/>
    <w:rsid w:val="005E7CB5"/>
    <w:rsid w:val="005F1024"/>
    <w:rsid w:val="005F1A96"/>
    <w:rsid w:val="005F1C77"/>
    <w:rsid w:val="005F601F"/>
    <w:rsid w:val="005F6833"/>
    <w:rsid w:val="006008D1"/>
    <w:rsid w:val="006113E2"/>
    <w:rsid w:val="006115EE"/>
    <w:rsid w:val="00612026"/>
    <w:rsid w:val="0061388C"/>
    <w:rsid w:val="006159CD"/>
    <w:rsid w:val="0061762A"/>
    <w:rsid w:val="00625BEB"/>
    <w:rsid w:val="0063625D"/>
    <w:rsid w:val="006423B9"/>
    <w:rsid w:val="006432DF"/>
    <w:rsid w:val="00644B93"/>
    <w:rsid w:val="00645CE7"/>
    <w:rsid w:val="00646D64"/>
    <w:rsid w:val="00652A6F"/>
    <w:rsid w:val="00652E3E"/>
    <w:rsid w:val="00653F2E"/>
    <w:rsid w:val="0065652C"/>
    <w:rsid w:val="00657EFA"/>
    <w:rsid w:val="0066113B"/>
    <w:rsid w:val="0066434F"/>
    <w:rsid w:val="00665CB3"/>
    <w:rsid w:val="00666591"/>
    <w:rsid w:val="0067677C"/>
    <w:rsid w:val="00682656"/>
    <w:rsid w:val="0068448E"/>
    <w:rsid w:val="00690594"/>
    <w:rsid w:val="00691CB3"/>
    <w:rsid w:val="00693419"/>
    <w:rsid w:val="0069350A"/>
    <w:rsid w:val="006949BB"/>
    <w:rsid w:val="006977D8"/>
    <w:rsid w:val="006A01FC"/>
    <w:rsid w:val="006A20CA"/>
    <w:rsid w:val="006A4561"/>
    <w:rsid w:val="006A4634"/>
    <w:rsid w:val="006A49A9"/>
    <w:rsid w:val="006B075C"/>
    <w:rsid w:val="006B3F41"/>
    <w:rsid w:val="006B44E7"/>
    <w:rsid w:val="006B7285"/>
    <w:rsid w:val="006B73AB"/>
    <w:rsid w:val="006C1624"/>
    <w:rsid w:val="006C214D"/>
    <w:rsid w:val="006C273A"/>
    <w:rsid w:val="006C3D7E"/>
    <w:rsid w:val="006D44D9"/>
    <w:rsid w:val="006D7156"/>
    <w:rsid w:val="006E5C53"/>
    <w:rsid w:val="006E6774"/>
    <w:rsid w:val="006E7B39"/>
    <w:rsid w:val="006F48B0"/>
    <w:rsid w:val="006F7440"/>
    <w:rsid w:val="00700042"/>
    <w:rsid w:val="007038C2"/>
    <w:rsid w:val="00705C4C"/>
    <w:rsid w:val="00707641"/>
    <w:rsid w:val="00710F2C"/>
    <w:rsid w:val="00711BB3"/>
    <w:rsid w:val="0071366D"/>
    <w:rsid w:val="00714F8F"/>
    <w:rsid w:val="0072144E"/>
    <w:rsid w:val="0072273D"/>
    <w:rsid w:val="00724AED"/>
    <w:rsid w:val="0072586B"/>
    <w:rsid w:val="00732999"/>
    <w:rsid w:val="00733B2A"/>
    <w:rsid w:val="00737209"/>
    <w:rsid w:val="00740B76"/>
    <w:rsid w:val="00745C55"/>
    <w:rsid w:val="00745FD3"/>
    <w:rsid w:val="00747526"/>
    <w:rsid w:val="00760D7F"/>
    <w:rsid w:val="0076102B"/>
    <w:rsid w:val="0076633D"/>
    <w:rsid w:val="007666A4"/>
    <w:rsid w:val="00771283"/>
    <w:rsid w:val="00773B14"/>
    <w:rsid w:val="00774B04"/>
    <w:rsid w:val="00777CC8"/>
    <w:rsid w:val="00790D20"/>
    <w:rsid w:val="00791F72"/>
    <w:rsid w:val="007932E2"/>
    <w:rsid w:val="0079527E"/>
    <w:rsid w:val="0079578A"/>
    <w:rsid w:val="007A1CA8"/>
    <w:rsid w:val="007A6FE9"/>
    <w:rsid w:val="007A7D81"/>
    <w:rsid w:val="007B0D5E"/>
    <w:rsid w:val="007C0A5A"/>
    <w:rsid w:val="007C5ED0"/>
    <w:rsid w:val="007C6F1B"/>
    <w:rsid w:val="007D11F4"/>
    <w:rsid w:val="007D13AA"/>
    <w:rsid w:val="007D55D0"/>
    <w:rsid w:val="007D6A3F"/>
    <w:rsid w:val="007E03F1"/>
    <w:rsid w:val="007E2D26"/>
    <w:rsid w:val="007E568E"/>
    <w:rsid w:val="007E69D8"/>
    <w:rsid w:val="007F66E1"/>
    <w:rsid w:val="007F6A4F"/>
    <w:rsid w:val="007F6C48"/>
    <w:rsid w:val="00811468"/>
    <w:rsid w:val="008136BD"/>
    <w:rsid w:val="008210D6"/>
    <w:rsid w:val="00823899"/>
    <w:rsid w:val="0082541A"/>
    <w:rsid w:val="0082672F"/>
    <w:rsid w:val="008321F8"/>
    <w:rsid w:val="008348FB"/>
    <w:rsid w:val="008373B6"/>
    <w:rsid w:val="00846E8D"/>
    <w:rsid w:val="00851B25"/>
    <w:rsid w:val="0085217B"/>
    <w:rsid w:val="00854C51"/>
    <w:rsid w:val="00856C9A"/>
    <w:rsid w:val="00865E11"/>
    <w:rsid w:val="00867618"/>
    <w:rsid w:val="0087122F"/>
    <w:rsid w:val="00872253"/>
    <w:rsid w:val="00874E3D"/>
    <w:rsid w:val="0087603E"/>
    <w:rsid w:val="008818AA"/>
    <w:rsid w:val="00882F0E"/>
    <w:rsid w:val="008830A8"/>
    <w:rsid w:val="008845EF"/>
    <w:rsid w:val="00885F16"/>
    <w:rsid w:val="008865A4"/>
    <w:rsid w:val="0089280F"/>
    <w:rsid w:val="00894299"/>
    <w:rsid w:val="00896E1E"/>
    <w:rsid w:val="00897C38"/>
    <w:rsid w:val="008A562B"/>
    <w:rsid w:val="008A7710"/>
    <w:rsid w:val="008B0E0C"/>
    <w:rsid w:val="008B3992"/>
    <w:rsid w:val="008B462F"/>
    <w:rsid w:val="008B7F07"/>
    <w:rsid w:val="008C5991"/>
    <w:rsid w:val="008C673C"/>
    <w:rsid w:val="008C6FB0"/>
    <w:rsid w:val="008C711B"/>
    <w:rsid w:val="008D35C9"/>
    <w:rsid w:val="008D5B0A"/>
    <w:rsid w:val="008D64B2"/>
    <w:rsid w:val="008D7CFA"/>
    <w:rsid w:val="008E4B97"/>
    <w:rsid w:val="008F179B"/>
    <w:rsid w:val="008F2C23"/>
    <w:rsid w:val="008F67BA"/>
    <w:rsid w:val="00900FC3"/>
    <w:rsid w:val="00901E04"/>
    <w:rsid w:val="00902B2C"/>
    <w:rsid w:val="00910ED5"/>
    <w:rsid w:val="0091130E"/>
    <w:rsid w:val="00911408"/>
    <w:rsid w:val="00920965"/>
    <w:rsid w:val="00920F31"/>
    <w:rsid w:val="00924AD3"/>
    <w:rsid w:val="00925A40"/>
    <w:rsid w:val="00926BAB"/>
    <w:rsid w:val="00927FE9"/>
    <w:rsid w:val="00930A02"/>
    <w:rsid w:val="00931BA0"/>
    <w:rsid w:val="00933349"/>
    <w:rsid w:val="0093373D"/>
    <w:rsid w:val="009353B5"/>
    <w:rsid w:val="00935E05"/>
    <w:rsid w:val="00936B34"/>
    <w:rsid w:val="00936D0D"/>
    <w:rsid w:val="009379C9"/>
    <w:rsid w:val="009400F4"/>
    <w:rsid w:val="009414EA"/>
    <w:rsid w:val="00941BFD"/>
    <w:rsid w:val="00941E5A"/>
    <w:rsid w:val="009422FB"/>
    <w:rsid w:val="009520FB"/>
    <w:rsid w:val="0095631D"/>
    <w:rsid w:val="0095708E"/>
    <w:rsid w:val="009575F7"/>
    <w:rsid w:val="00957F30"/>
    <w:rsid w:val="00960C63"/>
    <w:rsid w:val="00970078"/>
    <w:rsid w:val="00975490"/>
    <w:rsid w:val="00975D38"/>
    <w:rsid w:val="00976821"/>
    <w:rsid w:val="009770FA"/>
    <w:rsid w:val="00980FD8"/>
    <w:rsid w:val="00983287"/>
    <w:rsid w:val="009878AA"/>
    <w:rsid w:val="00987E6F"/>
    <w:rsid w:val="00991ADE"/>
    <w:rsid w:val="009923AE"/>
    <w:rsid w:val="00996E12"/>
    <w:rsid w:val="009975C6"/>
    <w:rsid w:val="009A1E19"/>
    <w:rsid w:val="009A29E2"/>
    <w:rsid w:val="009A4DDA"/>
    <w:rsid w:val="009A7424"/>
    <w:rsid w:val="009B0FE4"/>
    <w:rsid w:val="009B37FE"/>
    <w:rsid w:val="009B4EDE"/>
    <w:rsid w:val="009B77D3"/>
    <w:rsid w:val="009C5AD0"/>
    <w:rsid w:val="009C5DAA"/>
    <w:rsid w:val="009C6210"/>
    <w:rsid w:val="009C63D5"/>
    <w:rsid w:val="009C6FC5"/>
    <w:rsid w:val="009C770A"/>
    <w:rsid w:val="009D1DE7"/>
    <w:rsid w:val="009D1F16"/>
    <w:rsid w:val="009D2B13"/>
    <w:rsid w:val="009D37A6"/>
    <w:rsid w:val="009D3ED4"/>
    <w:rsid w:val="009D4BA4"/>
    <w:rsid w:val="009E3E79"/>
    <w:rsid w:val="009E4B85"/>
    <w:rsid w:val="009E6C19"/>
    <w:rsid w:val="009F23D2"/>
    <w:rsid w:val="009F4F09"/>
    <w:rsid w:val="009F60CD"/>
    <w:rsid w:val="009F7AB2"/>
    <w:rsid w:val="00A0131E"/>
    <w:rsid w:val="00A02AFE"/>
    <w:rsid w:val="00A05201"/>
    <w:rsid w:val="00A106DD"/>
    <w:rsid w:val="00A11114"/>
    <w:rsid w:val="00A11739"/>
    <w:rsid w:val="00A124E1"/>
    <w:rsid w:val="00A1483E"/>
    <w:rsid w:val="00A154CF"/>
    <w:rsid w:val="00A15DE0"/>
    <w:rsid w:val="00A168BC"/>
    <w:rsid w:val="00A206C6"/>
    <w:rsid w:val="00A240A6"/>
    <w:rsid w:val="00A266E3"/>
    <w:rsid w:val="00A27358"/>
    <w:rsid w:val="00A30802"/>
    <w:rsid w:val="00A333F4"/>
    <w:rsid w:val="00A34619"/>
    <w:rsid w:val="00A348B5"/>
    <w:rsid w:val="00A37EDF"/>
    <w:rsid w:val="00A41814"/>
    <w:rsid w:val="00A41B50"/>
    <w:rsid w:val="00A47901"/>
    <w:rsid w:val="00A51614"/>
    <w:rsid w:val="00A563D2"/>
    <w:rsid w:val="00A565F2"/>
    <w:rsid w:val="00A6046A"/>
    <w:rsid w:val="00A63177"/>
    <w:rsid w:val="00A65AD0"/>
    <w:rsid w:val="00A7388B"/>
    <w:rsid w:val="00A75EAF"/>
    <w:rsid w:val="00A76E35"/>
    <w:rsid w:val="00A80D5A"/>
    <w:rsid w:val="00A82242"/>
    <w:rsid w:val="00A850AD"/>
    <w:rsid w:val="00A856DC"/>
    <w:rsid w:val="00A92573"/>
    <w:rsid w:val="00A93961"/>
    <w:rsid w:val="00A93FBC"/>
    <w:rsid w:val="00A959CF"/>
    <w:rsid w:val="00A97419"/>
    <w:rsid w:val="00A97FE3"/>
    <w:rsid w:val="00AA4656"/>
    <w:rsid w:val="00AB5071"/>
    <w:rsid w:val="00AB5B29"/>
    <w:rsid w:val="00AB6955"/>
    <w:rsid w:val="00AC3321"/>
    <w:rsid w:val="00AC52E2"/>
    <w:rsid w:val="00AC741D"/>
    <w:rsid w:val="00AD014D"/>
    <w:rsid w:val="00AD5747"/>
    <w:rsid w:val="00AD7195"/>
    <w:rsid w:val="00AE0C90"/>
    <w:rsid w:val="00AE4122"/>
    <w:rsid w:val="00AF134E"/>
    <w:rsid w:val="00AF2B86"/>
    <w:rsid w:val="00AF66F0"/>
    <w:rsid w:val="00B00F31"/>
    <w:rsid w:val="00B0129C"/>
    <w:rsid w:val="00B024B6"/>
    <w:rsid w:val="00B04E29"/>
    <w:rsid w:val="00B06528"/>
    <w:rsid w:val="00B11204"/>
    <w:rsid w:val="00B12805"/>
    <w:rsid w:val="00B132E9"/>
    <w:rsid w:val="00B136C8"/>
    <w:rsid w:val="00B144F2"/>
    <w:rsid w:val="00B156F7"/>
    <w:rsid w:val="00B34F86"/>
    <w:rsid w:val="00B3652A"/>
    <w:rsid w:val="00B36EC2"/>
    <w:rsid w:val="00B40443"/>
    <w:rsid w:val="00B40603"/>
    <w:rsid w:val="00B408B6"/>
    <w:rsid w:val="00B4558E"/>
    <w:rsid w:val="00B51B5C"/>
    <w:rsid w:val="00B56477"/>
    <w:rsid w:val="00B56ECF"/>
    <w:rsid w:val="00B63CA7"/>
    <w:rsid w:val="00B6452E"/>
    <w:rsid w:val="00B66EB4"/>
    <w:rsid w:val="00B70BB9"/>
    <w:rsid w:val="00B70D8A"/>
    <w:rsid w:val="00B73F09"/>
    <w:rsid w:val="00B761EC"/>
    <w:rsid w:val="00B82592"/>
    <w:rsid w:val="00B913EB"/>
    <w:rsid w:val="00B915E3"/>
    <w:rsid w:val="00BA10F4"/>
    <w:rsid w:val="00BA434A"/>
    <w:rsid w:val="00BA7DA3"/>
    <w:rsid w:val="00BB0170"/>
    <w:rsid w:val="00BB050A"/>
    <w:rsid w:val="00BB53E9"/>
    <w:rsid w:val="00BB724D"/>
    <w:rsid w:val="00BC011D"/>
    <w:rsid w:val="00BC1EDC"/>
    <w:rsid w:val="00BC424E"/>
    <w:rsid w:val="00BC5DF0"/>
    <w:rsid w:val="00BD0D28"/>
    <w:rsid w:val="00BD3B2D"/>
    <w:rsid w:val="00BD43B3"/>
    <w:rsid w:val="00BD5614"/>
    <w:rsid w:val="00BD7856"/>
    <w:rsid w:val="00BD7F49"/>
    <w:rsid w:val="00BE52C3"/>
    <w:rsid w:val="00BE6866"/>
    <w:rsid w:val="00BF0747"/>
    <w:rsid w:val="00BF0C78"/>
    <w:rsid w:val="00BF0CBF"/>
    <w:rsid w:val="00BF251F"/>
    <w:rsid w:val="00BF60FB"/>
    <w:rsid w:val="00C05B24"/>
    <w:rsid w:val="00C12222"/>
    <w:rsid w:val="00C16927"/>
    <w:rsid w:val="00C2298E"/>
    <w:rsid w:val="00C23E51"/>
    <w:rsid w:val="00C32E05"/>
    <w:rsid w:val="00C331D3"/>
    <w:rsid w:val="00C34EBE"/>
    <w:rsid w:val="00C35532"/>
    <w:rsid w:val="00C35D54"/>
    <w:rsid w:val="00C43002"/>
    <w:rsid w:val="00C45260"/>
    <w:rsid w:val="00C5240B"/>
    <w:rsid w:val="00C5301A"/>
    <w:rsid w:val="00C56454"/>
    <w:rsid w:val="00C56927"/>
    <w:rsid w:val="00C574D7"/>
    <w:rsid w:val="00C577DF"/>
    <w:rsid w:val="00C63678"/>
    <w:rsid w:val="00C6599B"/>
    <w:rsid w:val="00C72858"/>
    <w:rsid w:val="00C7595D"/>
    <w:rsid w:val="00C767A1"/>
    <w:rsid w:val="00C77A77"/>
    <w:rsid w:val="00C800B3"/>
    <w:rsid w:val="00C84271"/>
    <w:rsid w:val="00C84276"/>
    <w:rsid w:val="00C868A9"/>
    <w:rsid w:val="00C9119D"/>
    <w:rsid w:val="00C911EE"/>
    <w:rsid w:val="00C92270"/>
    <w:rsid w:val="00C959C8"/>
    <w:rsid w:val="00CA1E79"/>
    <w:rsid w:val="00CA313D"/>
    <w:rsid w:val="00CA477E"/>
    <w:rsid w:val="00CA608F"/>
    <w:rsid w:val="00CA68FB"/>
    <w:rsid w:val="00CB011F"/>
    <w:rsid w:val="00CB4699"/>
    <w:rsid w:val="00CB6218"/>
    <w:rsid w:val="00CC59CA"/>
    <w:rsid w:val="00CD6348"/>
    <w:rsid w:val="00CD663E"/>
    <w:rsid w:val="00CD6B3D"/>
    <w:rsid w:val="00CD70BA"/>
    <w:rsid w:val="00CE110F"/>
    <w:rsid w:val="00CE2CC3"/>
    <w:rsid w:val="00CE2CE4"/>
    <w:rsid w:val="00CE44C8"/>
    <w:rsid w:val="00CE4588"/>
    <w:rsid w:val="00CE71F3"/>
    <w:rsid w:val="00CF21DC"/>
    <w:rsid w:val="00CF2290"/>
    <w:rsid w:val="00CF597A"/>
    <w:rsid w:val="00D0115B"/>
    <w:rsid w:val="00D012A1"/>
    <w:rsid w:val="00D032C6"/>
    <w:rsid w:val="00D0533B"/>
    <w:rsid w:val="00D0610B"/>
    <w:rsid w:val="00D10822"/>
    <w:rsid w:val="00D121C3"/>
    <w:rsid w:val="00D142DB"/>
    <w:rsid w:val="00D15A9D"/>
    <w:rsid w:val="00D17784"/>
    <w:rsid w:val="00D2010C"/>
    <w:rsid w:val="00D20193"/>
    <w:rsid w:val="00D20C36"/>
    <w:rsid w:val="00D20D29"/>
    <w:rsid w:val="00D2204C"/>
    <w:rsid w:val="00D222F2"/>
    <w:rsid w:val="00D2524E"/>
    <w:rsid w:val="00D25D53"/>
    <w:rsid w:val="00D27CB4"/>
    <w:rsid w:val="00D31849"/>
    <w:rsid w:val="00D31A36"/>
    <w:rsid w:val="00D34C0E"/>
    <w:rsid w:val="00D365B0"/>
    <w:rsid w:val="00D4282D"/>
    <w:rsid w:val="00D43067"/>
    <w:rsid w:val="00D44427"/>
    <w:rsid w:val="00D44D55"/>
    <w:rsid w:val="00D4577B"/>
    <w:rsid w:val="00D469CC"/>
    <w:rsid w:val="00D60A9F"/>
    <w:rsid w:val="00D61D56"/>
    <w:rsid w:val="00D62533"/>
    <w:rsid w:val="00D62B98"/>
    <w:rsid w:val="00D6461E"/>
    <w:rsid w:val="00D65417"/>
    <w:rsid w:val="00D6721D"/>
    <w:rsid w:val="00D7146E"/>
    <w:rsid w:val="00D753C9"/>
    <w:rsid w:val="00D77DB4"/>
    <w:rsid w:val="00D81FA2"/>
    <w:rsid w:val="00D863B6"/>
    <w:rsid w:val="00D92FD5"/>
    <w:rsid w:val="00D9356E"/>
    <w:rsid w:val="00D94705"/>
    <w:rsid w:val="00D95052"/>
    <w:rsid w:val="00D97A10"/>
    <w:rsid w:val="00D97BAB"/>
    <w:rsid w:val="00DA31EF"/>
    <w:rsid w:val="00DA42C5"/>
    <w:rsid w:val="00DA61EA"/>
    <w:rsid w:val="00DB047A"/>
    <w:rsid w:val="00DB0F4D"/>
    <w:rsid w:val="00DB1272"/>
    <w:rsid w:val="00DB14DC"/>
    <w:rsid w:val="00DB2A99"/>
    <w:rsid w:val="00DB5FCB"/>
    <w:rsid w:val="00DB6081"/>
    <w:rsid w:val="00DB7005"/>
    <w:rsid w:val="00DC1459"/>
    <w:rsid w:val="00DC1879"/>
    <w:rsid w:val="00DC2F2A"/>
    <w:rsid w:val="00DC4717"/>
    <w:rsid w:val="00DC4ACA"/>
    <w:rsid w:val="00DC599D"/>
    <w:rsid w:val="00DC682C"/>
    <w:rsid w:val="00DC70F5"/>
    <w:rsid w:val="00DD0E8B"/>
    <w:rsid w:val="00DD421C"/>
    <w:rsid w:val="00DD4B16"/>
    <w:rsid w:val="00DD67EA"/>
    <w:rsid w:val="00DD7994"/>
    <w:rsid w:val="00DE536F"/>
    <w:rsid w:val="00DE7812"/>
    <w:rsid w:val="00DE7FA4"/>
    <w:rsid w:val="00DF1634"/>
    <w:rsid w:val="00DF734D"/>
    <w:rsid w:val="00E03C84"/>
    <w:rsid w:val="00E05AF8"/>
    <w:rsid w:val="00E1093E"/>
    <w:rsid w:val="00E1543D"/>
    <w:rsid w:val="00E17FC0"/>
    <w:rsid w:val="00E22CCF"/>
    <w:rsid w:val="00E23D46"/>
    <w:rsid w:val="00E25FC1"/>
    <w:rsid w:val="00E329D5"/>
    <w:rsid w:val="00E357A7"/>
    <w:rsid w:val="00E358E3"/>
    <w:rsid w:val="00E36E37"/>
    <w:rsid w:val="00E42F4B"/>
    <w:rsid w:val="00E50880"/>
    <w:rsid w:val="00E52423"/>
    <w:rsid w:val="00E5541B"/>
    <w:rsid w:val="00E55C3C"/>
    <w:rsid w:val="00E6026E"/>
    <w:rsid w:val="00E612DF"/>
    <w:rsid w:val="00E72026"/>
    <w:rsid w:val="00E723AB"/>
    <w:rsid w:val="00E75188"/>
    <w:rsid w:val="00E752C2"/>
    <w:rsid w:val="00E75F98"/>
    <w:rsid w:val="00E76299"/>
    <w:rsid w:val="00E776F0"/>
    <w:rsid w:val="00E80EA8"/>
    <w:rsid w:val="00E928F9"/>
    <w:rsid w:val="00E92DA9"/>
    <w:rsid w:val="00E9516B"/>
    <w:rsid w:val="00E95D84"/>
    <w:rsid w:val="00E97A03"/>
    <w:rsid w:val="00EA300B"/>
    <w:rsid w:val="00EA340A"/>
    <w:rsid w:val="00EA72F3"/>
    <w:rsid w:val="00EB5EEA"/>
    <w:rsid w:val="00EB6374"/>
    <w:rsid w:val="00EC306E"/>
    <w:rsid w:val="00EC4339"/>
    <w:rsid w:val="00EC7093"/>
    <w:rsid w:val="00EC7098"/>
    <w:rsid w:val="00ED21F7"/>
    <w:rsid w:val="00ED4122"/>
    <w:rsid w:val="00ED46AE"/>
    <w:rsid w:val="00ED612E"/>
    <w:rsid w:val="00ED6346"/>
    <w:rsid w:val="00EE0174"/>
    <w:rsid w:val="00EE0915"/>
    <w:rsid w:val="00EE1B03"/>
    <w:rsid w:val="00EE245A"/>
    <w:rsid w:val="00EE7E2A"/>
    <w:rsid w:val="00EF3809"/>
    <w:rsid w:val="00EF70FD"/>
    <w:rsid w:val="00F064D8"/>
    <w:rsid w:val="00F06FA5"/>
    <w:rsid w:val="00F07AB6"/>
    <w:rsid w:val="00F101D9"/>
    <w:rsid w:val="00F14342"/>
    <w:rsid w:val="00F156B7"/>
    <w:rsid w:val="00F2243D"/>
    <w:rsid w:val="00F26322"/>
    <w:rsid w:val="00F26877"/>
    <w:rsid w:val="00F278F9"/>
    <w:rsid w:val="00F36214"/>
    <w:rsid w:val="00F41138"/>
    <w:rsid w:val="00F4406F"/>
    <w:rsid w:val="00F441AD"/>
    <w:rsid w:val="00F44B62"/>
    <w:rsid w:val="00F46E70"/>
    <w:rsid w:val="00F50248"/>
    <w:rsid w:val="00F528DE"/>
    <w:rsid w:val="00F60839"/>
    <w:rsid w:val="00F617F0"/>
    <w:rsid w:val="00F61F66"/>
    <w:rsid w:val="00F64016"/>
    <w:rsid w:val="00F64963"/>
    <w:rsid w:val="00F64F0A"/>
    <w:rsid w:val="00F65915"/>
    <w:rsid w:val="00F71779"/>
    <w:rsid w:val="00F72FF0"/>
    <w:rsid w:val="00F75741"/>
    <w:rsid w:val="00F7648F"/>
    <w:rsid w:val="00F804AC"/>
    <w:rsid w:val="00F83E4A"/>
    <w:rsid w:val="00F8468B"/>
    <w:rsid w:val="00F867D8"/>
    <w:rsid w:val="00F94BAC"/>
    <w:rsid w:val="00FA5F63"/>
    <w:rsid w:val="00FB2D5F"/>
    <w:rsid w:val="00FC3C72"/>
    <w:rsid w:val="00FC6E3B"/>
    <w:rsid w:val="00FD5AE0"/>
    <w:rsid w:val="00FD70A0"/>
    <w:rsid w:val="00FE04FC"/>
    <w:rsid w:val="00FE24AB"/>
    <w:rsid w:val="00FE2BE6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21C"/>
  </w:style>
  <w:style w:type="paragraph" w:styleId="Ttulo5">
    <w:name w:val="heading 5"/>
    <w:basedOn w:val="Normal"/>
    <w:next w:val="Normal"/>
    <w:link w:val="Ttulo5Car"/>
    <w:unhideWhenUsed/>
    <w:qFormat/>
    <w:rsid w:val="00DD0E8B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21C"/>
    <w:pPr>
      <w:ind w:left="720"/>
      <w:contextualSpacing/>
    </w:pPr>
  </w:style>
  <w:style w:type="paragraph" w:customStyle="1" w:styleId="Pa31">
    <w:name w:val="Pa3+1"/>
    <w:basedOn w:val="Normal"/>
    <w:next w:val="Normal"/>
    <w:uiPriority w:val="99"/>
    <w:rsid w:val="009D2B13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character" w:customStyle="1" w:styleId="A32">
    <w:name w:val="A3+2"/>
    <w:uiPriority w:val="99"/>
    <w:rsid w:val="009D2B13"/>
    <w:rPr>
      <w:rFonts w:cs="Gotham"/>
      <w:color w:val="00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83E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E4A"/>
  </w:style>
  <w:style w:type="paragraph" w:styleId="Piedepgina">
    <w:name w:val="footer"/>
    <w:basedOn w:val="Normal"/>
    <w:link w:val="PiedepginaCar"/>
    <w:uiPriority w:val="99"/>
    <w:unhideWhenUsed/>
    <w:rsid w:val="00F83E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E4A"/>
  </w:style>
  <w:style w:type="paragraph" w:styleId="Textodeglobo">
    <w:name w:val="Balloon Text"/>
    <w:basedOn w:val="Normal"/>
    <w:link w:val="TextodegloboCar"/>
    <w:uiPriority w:val="99"/>
    <w:semiHidden/>
    <w:unhideWhenUsed/>
    <w:rsid w:val="00A24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0A6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rsid w:val="00DD0E8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21C"/>
  </w:style>
  <w:style w:type="paragraph" w:styleId="Ttulo5">
    <w:name w:val="heading 5"/>
    <w:basedOn w:val="Normal"/>
    <w:next w:val="Normal"/>
    <w:link w:val="Ttulo5Car"/>
    <w:unhideWhenUsed/>
    <w:qFormat/>
    <w:rsid w:val="00DD0E8B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21C"/>
    <w:pPr>
      <w:ind w:left="720"/>
      <w:contextualSpacing/>
    </w:pPr>
  </w:style>
  <w:style w:type="paragraph" w:customStyle="1" w:styleId="Pa31">
    <w:name w:val="Pa3+1"/>
    <w:basedOn w:val="Normal"/>
    <w:next w:val="Normal"/>
    <w:uiPriority w:val="99"/>
    <w:rsid w:val="009D2B13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character" w:customStyle="1" w:styleId="A32">
    <w:name w:val="A3+2"/>
    <w:uiPriority w:val="99"/>
    <w:rsid w:val="009D2B13"/>
    <w:rPr>
      <w:rFonts w:cs="Gotham"/>
      <w:color w:val="00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83E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E4A"/>
  </w:style>
  <w:style w:type="paragraph" w:styleId="Piedepgina">
    <w:name w:val="footer"/>
    <w:basedOn w:val="Normal"/>
    <w:link w:val="PiedepginaCar"/>
    <w:uiPriority w:val="99"/>
    <w:unhideWhenUsed/>
    <w:rsid w:val="00F83E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E4A"/>
  </w:style>
  <w:style w:type="paragraph" w:styleId="Textodeglobo">
    <w:name w:val="Balloon Text"/>
    <w:basedOn w:val="Normal"/>
    <w:link w:val="TextodegloboCar"/>
    <w:uiPriority w:val="99"/>
    <w:semiHidden/>
    <w:unhideWhenUsed/>
    <w:rsid w:val="00A24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0A6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rsid w:val="00DD0E8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Enoch</dc:creator>
  <cp:lastModifiedBy>Enoch</cp:lastModifiedBy>
  <cp:revision>3</cp:revision>
  <dcterms:created xsi:type="dcterms:W3CDTF">2015-11-12T02:20:00Z</dcterms:created>
  <dcterms:modified xsi:type="dcterms:W3CDTF">2015-11-12T03:33:00Z</dcterms:modified>
</cp:coreProperties>
</file>