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PLANEACIÓN ESTRATÉGICA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9E2FE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MTRO. ANTONIO PÉREZ GÓMEZ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6F256D" w:rsidRPr="000D0C7C" w:rsidRDefault="007C294F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 xml:space="preserve">UNIDAD </w:t>
      </w:r>
      <w:r w:rsidR="000B1FC8">
        <w:rPr>
          <w:rStyle w:val="Textoennegrita"/>
          <w:rFonts w:ascii="Arial" w:hAnsi="Arial" w:cs="Arial"/>
          <w:color w:val="222222"/>
        </w:rPr>
        <w:t>3</w:t>
      </w:r>
    </w:p>
    <w:p w:rsidR="00F07471" w:rsidRDefault="000B1FC8" w:rsidP="00F07471">
      <w:pPr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LIBRO: ADMINISTRACIÓN ESTRATÉGICA</w:t>
      </w:r>
    </w:p>
    <w:p w:rsidR="000B1FC8" w:rsidRPr="000B1FC8" w:rsidRDefault="009A2736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ORGANIZACIÓN Y PLANEACIÓN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Pr="000D0C7C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1F3069" w:rsidRPr="000D0C7C" w:rsidRDefault="001F3069" w:rsidP="005272FB">
      <w:pPr>
        <w:pStyle w:val="Ttulo1"/>
      </w:pPr>
      <w:bookmarkStart w:id="0" w:name="_Toc447479085"/>
      <w:bookmarkStart w:id="1" w:name="_Toc447479189"/>
      <w:bookmarkStart w:id="2" w:name="_Toc447480130"/>
    </w:p>
    <w:p w:rsidR="001F3069" w:rsidRPr="00BD575A" w:rsidRDefault="007C294F" w:rsidP="00BD575A">
      <w:pPr>
        <w:spacing w:line="276" w:lineRule="auto"/>
        <w:jc w:val="center"/>
        <w:rPr>
          <w:rStyle w:val="Textoennegrita"/>
          <w:rFonts w:ascii="Arial" w:hAnsi="Arial" w:cs="Arial"/>
          <w:color w:val="538135" w:themeColor="accent6" w:themeShade="BF"/>
        </w:rPr>
      </w:pPr>
      <w:bookmarkStart w:id="3" w:name="_Toc447479194"/>
      <w:bookmarkStart w:id="4" w:name="_Toc447480137"/>
      <w:bookmarkEnd w:id="0"/>
      <w:bookmarkEnd w:id="1"/>
      <w:bookmarkEnd w:id="2"/>
      <w:r w:rsidRPr="00BD575A">
        <w:rPr>
          <w:rStyle w:val="Textoennegrita"/>
          <w:rFonts w:ascii="Arial" w:hAnsi="Arial" w:cs="Arial"/>
          <w:color w:val="538135" w:themeColor="accent6" w:themeShade="BF"/>
        </w:rPr>
        <w:t xml:space="preserve">DIAGNÓSTICO </w:t>
      </w:r>
      <w:r w:rsidR="00BD575A">
        <w:rPr>
          <w:rStyle w:val="Textoennegrita"/>
          <w:rFonts w:ascii="Arial" w:hAnsi="Arial" w:cs="Arial"/>
          <w:color w:val="538135" w:themeColor="accent6" w:themeShade="BF"/>
        </w:rPr>
        <w:t>ESTRATÉGICO,</w:t>
      </w:r>
      <w:r w:rsidR="00BD575A" w:rsidRPr="00BD575A">
        <w:rPr>
          <w:rStyle w:val="Textoennegrita"/>
          <w:rFonts w:ascii="Arial" w:hAnsi="Arial" w:cs="Arial"/>
          <w:color w:val="538135" w:themeColor="accent6" w:themeShade="BF"/>
        </w:rPr>
        <w:t xml:space="preserve"> ÁREA</w:t>
      </w:r>
      <w:r w:rsidRPr="00BD575A">
        <w:rPr>
          <w:rStyle w:val="Textoennegrita"/>
          <w:rFonts w:ascii="Arial" w:hAnsi="Arial" w:cs="Arial"/>
          <w:color w:val="538135" w:themeColor="accent6" w:themeShade="BF"/>
        </w:rPr>
        <w:t xml:space="preserve"> DE GESTIÓN</w:t>
      </w:r>
    </w:p>
    <w:p w:rsidR="00BD124A" w:rsidRPr="00BD575A" w:rsidRDefault="00BD575A" w:rsidP="00BD575A">
      <w:pPr>
        <w:spacing w:line="276" w:lineRule="auto"/>
        <w:jc w:val="center"/>
        <w:rPr>
          <w:rFonts w:ascii="Arial" w:hAnsi="Arial" w:cs="Arial"/>
          <w:lang w:val="es-ES"/>
        </w:rPr>
      </w:pPr>
      <w:r w:rsidRPr="00BD575A">
        <w:rPr>
          <w:rFonts w:ascii="Arial" w:hAnsi="Arial" w:cs="Arial"/>
          <w:lang w:val="es-ES"/>
        </w:rPr>
        <w:t>AYUNTAMIENTO CONSTITUCIONAL DE LA LIBERTAD</w:t>
      </w:r>
    </w:p>
    <w:p w:rsidR="00BD124A" w:rsidRPr="00BD575A" w:rsidRDefault="00BD124A" w:rsidP="00BD575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BD575A" w:rsidRPr="00BD575A" w:rsidRDefault="00BD575A" w:rsidP="00BD575A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I.- </w:t>
      </w:r>
      <w:r w:rsidRPr="00BD575A">
        <w:rPr>
          <w:rFonts w:ascii="Arial" w:hAnsi="Arial" w:cs="Arial"/>
          <w:b/>
          <w:bCs/>
          <w:lang w:val="es-ES"/>
        </w:rPr>
        <w:t>DESTINO ESTRATÉGICO (VISIÓN Y MISIÓN)</w:t>
      </w:r>
    </w:p>
    <w:p w:rsidR="00BD575A" w:rsidRPr="00BD575A" w:rsidRDefault="00BD575A" w:rsidP="00BD575A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</w:p>
    <w:p w:rsidR="00BD575A" w:rsidRPr="00BD575A" w:rsidRDefault="00BD575A" w:rsidP="00BD575A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  <w:r w:rsidRPr="00BD575A">
        <w:rPr>
          <w:rFonts w:ascii="Arial" w:hAnsi="Arial" w:cs="Arial"/>
          <w:color w:val="auto"/>
          <w:sz w:val="22"/>
          <w:szCs w:val="22"/>
        </w:rPr>
        <w:t>Visión</w:t>
      </w:r>
    </w:p>
    <w:p w:rsidR="00BD575A" w:rsidRDefault="00BD575A" w:rsidP="00BD575A">
      <w:pPr>
        <w:jc w:val="both"/>
        <w:rPr>
          <w:rFonts w:ascii="Arial" w:hAnsi="Arial" w:cs="Arial"/>
        </w:rPr>
      </w:pPr>
    </w:p>
    <w:p w:rsidR="00BD575A" w:rsidRPr="00BD575A" w:rsidRDefault="00BD575A" w:rsidP="00BD575A">
      <w:pPr>
        <w:pStyle w:val="Ttulo2"/>
        <w:spacing w:line="276" w:lineRule="auto"/>
        <w:jc w:val="both"/>
        <w:rPr>
          <w:rFonts w:ascii="Arial" w:hAnsi="Arial" w:cs="Arial"/>
          <w:b w:val="0"/>
          <w:color w:val="auto"/>
          <w:sz w:val="18"/>
          <w:szCs w:val="22"/>
        </w:rPr>
      </w:pPr>
      <w:r w:rsidRPr="00BD575A">
        <w:rPr>
          <w:rFonts w:ascii="Arial" w:eastAsia="Calibri" w:hAnsi="Arial" w:cs="Arial"/>
          <w:b w:val="0"/>
          <w:color w:val="auto"/>
          <w:sz w:val="22"/>
        </w:rPr>
        <w:t>Hacer de la libertad un municipio con un elevado nivel de desarrollo un periodo de 15 años, tanto en lo económico como en lo social, educativo, cultural y de salud, en donde las acciones de este gobierno que encabeza la administración 2015 – 2018 reflejen un mejoramiento a nivel de vida de sus habitantes; así mismo lograr los principios de honestidad, vocación de servicio, profesionalismo y capacidad de respuesta.</w:t>
      </w:r>
    </w:p>
    <w:p w:rsidR="00BD575A" w:rsidRDefault="00BD575A" w:rsidP="00BD575A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</w:p>
    <w:p w:rsidR="00BD575A" w:rsidRPr="00BD575A" w:rsidRDefault="00BD575A" w:rsidP="00BD575A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  <w:r w:rsidRPr="00BD575A">
        <w:rPr>
          <w:rFonts w:ascii="Arial" w:hAnsi="Arial" w:cs="Arial"/>
          <w:color w:val="auto"/>
          <w:sz w:val="22"/>
          <w:szCs w:val="22"/>
        </w:rPr>
        <w:t>Misión</w:t>
      </w:r>
    </w:p>
    <w:p w:rsidR="00BD575A" w:rsidRDefault="00BD575A" w:rsidP="00BD575A">
      <w:pPr>
        <w:tabs>
          <w:tab w:val="left" w:pos="516"/>
        </w:tabs>
        <w:jc w:val="both"/>
        <w:rPr>
          <w:rFonts w:ascii="Arial" w:hAnsi="Arial" w:cs="Arial"/>
        </w:rPr>
      </w:pPr>
    </w:p>
    <w:p w:rsidR="00832A31" w:rsidRPr="00467230" w:rsidRDefault="00832A31" w:rsidP="00832A31">
      <w:pPr>
        <w:autoSpaceDE w:val="0"/>
        <w:autoSpaceDN w:val="0"/>
        <w:adjustRightInd w:val="0"/>
        <w:spacing w:after="200"/>
        <w:jc w:val="both"/>
        <w:rPr>
          <w:rFonts w:ascii="Arial" w:eastAsia="Calibri" w:hAnsi="Arial" w:cs="Arial"/>
          <w:bCs/>
        </w:rPr>
      </w:pPr>
      <w:r w:rsidRPr="00467230">
        <w:rPr>
          <w:rFonts w:ascii="Arial" w:eastAsia="Calibri" w:hAnsi="Arial" w:cs="Arial"/>
          <w:bCs/>
        </w:rPr>
        <w:t>Ejercer un gobierno transparente, de puertas abiertas que propicien la atención de las demandas prioritarias del municipio, garantizar la eficiencia en el manejo de los recursos y hacer que los beneficios lleguen a quienes realmente lo necesitan, y así obtener un mejor crecimiento social, político y económico de los habitantes en un mediano plazo.</w:t>
      </w:r>
    </w:p>
    <w:p w:rsidR="00832A31" w:rsidRDefault="00832A31" w:rsidP="00BD575A">
      <w:pPr>
        <w:tabs>
          <w:tab w:val="left" w:pos="516"/>
        </w:tabs>
        <w:jc w:val="both"/>
        <w:rPr>
          <w:rFonts w:ascii="Arial" w:hAnsi="Arial" w:cs="Arial"/>
        </w:rPr>
      </w:pPr>
    </w:p>
    <w:p w:rsidR="00BD575A" w:rsidRPr="00832A31" w:rsidRDefault="00832A31" w:rsidP="00832A3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 xml:space="preserve">II.- </w:t>
      </w:r>
      <w:r w:rsidR="00BD575A" w:rsidRPr="00832A31">
        <w:rPr>
          <w:rFonts w:ascii="Arial" w:hAnsi="Arial" w:cs="Arial"/>
          <w:b/>
          <w:bCs/>
          <w:lang w:val="es-ES"/>
        </w:rPr>
        <w:t>DIAGNÓSTICO</w:t>
      </w:r>
    </w:p>
    <w:p w:rsidR="00BD575A" w:rsidRPr="00832A31" w:rsidRDefault="00BD575A" w:rsidP="00832A3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832A31" w:rsidRPr="00832A31" w:rsidRDefault="00832A31" w:rsidP="00832A31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832A31">
        <w:rPr>
          <w:rFonts w:ascii="Arial" w:hAnsi="Arial" w:cs="Arial"/>
          <w:color w:val="auto"/>
          <w:sz w:val="22"/>
          <w:szCs w:val="22"/>
        </w:rPr>
        <w:t>Análisis Interno (Fortalezas)</w:t>
      </w:r>
    </w:p>
    <w:p w:rsidR="00832A31" w:rsidRPr="00832A31" w:rsidRDefault="00832A31" w:rsidP="00832A31">
      <w:pPr>
        <w:spacing w:after="0" w:line="276" w:lineRule="auto"/>
        <w:ind w:left="426" w:hanging="426"/>
        <w:rPr>
          <w:rFonts w:ascii="Arial" w:hAnsi="Arial" w:cs="Arial"/>
        </w:rPr>
      </w:pPr>
    </w:p>
    <w:p w:rsidR="00832A31" w:rsidRPr="00832A31" w:rsidRDefault="00832A31" w:rsidP="00832A31">
      <w:pPr>
        <w:spacing w:after="0" w:line="276" w:lineRule="auto"/>
        <w:ind w:left="426" w:hanging="426"/>
        <w:rPr>
          <w:rFonts w:ascii="Arial" w:hAnsi="Arial" w:cs="Arial"/>
        </w:rPr>
      </w:pPr>
      <w:r w:rsidRPr="00832A31">
        <w:rPr>
          <w:rFonts w:ascii="Arial" w:hAnsi="Arial" w:cs="Arial"/>
        </w:rPr>
        <w:t>F1.</w:t>
      </w:r>
      <w:r w:rsidRPr="00832A31">
        <w:rPr>
          <w:rFonts w:ascii="Arial" w:hAnsi="Arial" w:cs="Arial"/>
        </w:rPr>
        <w:tab/>
        <w:t>Atribuciones legales para convenios y con los diferentes órdenes de gobierno y organismos privados.</w:t>
      </w:r>
    </w:p>
    <w:p w:rsidR="00832A31" w:rsidRPr="00832A31" w:rsidRDefault="007229C1" w:rsidP="00832A3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F2.</w:t>
      </w:r>
      <w:r>
        <w:rPr>
          <w:rFonts w:ascii="Arial" w:hAnsi="Arial" w:cs="Arial"/>
        </w:rPr>
        <w:tab/>
        <w:t>Presupuesto anual por tres años.</w:t>
      </w:r>
    </w:p>
    <w:p w:rsidR="00832A31" w:rsidRPr="00832A31" w:rsidRDefault="007229C1" w:rsidP="00832A3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F3.</w:t>
      </w:r>
      <w:r>
        <w:rPr>
          <w:rFonts w:ascii="Arial" w:hAnsi="Arial" w:cs="Arial"/>
        </w:rPr>
        <w:tab/>
        <w:t>Crecimiento del turismo</w:t>
      </w:r>
      <w:r w:rsidR="00832A31" w:rsidRPr="00832A31">
        <w:rPr>
          <w:rFonts w:ascii="Arial" w:hAnsi="Arial" w:cs="Arial"/>
        </w:rPr>
        <w:t>.</w:t>
      </w:r>
    </w:p>
    <w:p w:rsidR="00832A31" w:rsidRPr="00832A31" w:rsidRDefault="007229C1" w:rsidP="00832A3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F4.</w:t>
      </w:r>
      <w:r>
        <w:rPr>
          <w:rFonts w:ascii="Arial" w:hAnsi="Arial" w:cs="Arial"/>
        </w:rPr>
        <w:tab/>
        <w:t>Personal con varias disciplinas profesionales.</w:t>
      </w:r>
    </w:p>
    <w:p w:rsidR="00832A31" w:rsidRPr="00832A31" w:rsidRDefault="00832A31" w:rsidP="00832A31">
      <w:pPr>
        <w:spacing w:after="0" w:line="276" w:lineRule="auto"/>
        <w:ind w:left="426" w:hanging="426"/>
        <w:rPr>
          <w:rFonts w:ascii="Arial" w:hAnsi="Arial" w:cs="Arial"/>
        </w:rPr>
      </w:pPr>
      <w:r w:rsidRPr="00832A31">
        <w:rPr>
          <w:rFonts w:ascii="Arial" w:hAnsi="Arial" w:cs="Arial"/>
        </w:rPr>
        <w:t>F5.</w:t>
      </w:r>
      <w:r w:rsidRPr="00832A31">
        <w:rPr>
          <w:rFonts w:ascii="Arial" w:hAnsi="Arial" w:cs="Arial"/>
        </w:rPr>
        <w:tab/>
        <w:t>Nuevo modelo de planeación a largo plazo.</w:t>
      </w:r>
    </w:p>
    <w:p w:rsidR="00832A31" w:rsidRPr="00BD575A" w:rsidRDefault="00832A31" w:rsidP="00BD575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8D702B" w:rsidRPr="00BD575A" w:rsidRDefault="008D702B" w:rsidP="00BD575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7B4340" w:rsidRDefault="007B4340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832A31" w:rsidRDefault="00832A31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832A31" w:rsidRDefault="00832A31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832A31" w:rsidRDefault="00832A31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EC4873" w:rsidRPr="00EC4873" w:rsidRDefault="00EC4873" w:rsidP="00EC4873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EC4873">
        <w:rPr>
          <w:rFonts w:ascii="Arial" w:hAnsi="Arial" w:cs="Arial"/>
          <w:color w:val="auto"/>
          <w:sz w:val="22"/>
          <w:szCs w:val="22"/>
        </w:rPr>
        <w:t>Análisis Interno (Debilidades)</w:t>
      </w:r>
    </w:p>
    <w:p w:rsidR="00EC4873" w:rsidRPr="00EC4873" w:rsidRDefault="00EC4873" w:rsidP="00EC4873">
      <w:pPr>
        <w:spacing w:line="276" w:lineRule="auto"/>
        <w:rPr>
          <w:rFonts w:ascii="Arial" w:hAnsi="Arial" w:cs="Arial"/>
        </w:rPr>
      </w:pPr>
    </w:p>
    <w:p w:rsidR="00EC4873" w:rsidRP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D1.</w:t>
      </w:r>
      <w:r w:rsidRPr="00EC4873">
        <w:rPr>
          <w:rFonts w:ascii="Arial" w:hAnsi="Arial" w:cs="Arial"/>
        </w:rPr>
        <w:tab/>
        <w:t>Falta de capacitaci</w:t>
      </w:r>
      <w:r>
        <w:rPr>
          <w:rFonts w:ascii="Arial" w:hAnsi="Arial" w:cs="Arial"/>
        </w:rPr>
        <w:t>ón al personal en algunas áreas administrativas del ayuntamiento.</w:t>
      </w:r>
    </w:p>
    <w:p w:rsidR="00EC4873" w:rsidRP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D2.</w:t>
      </w:r>
      <w:r w:rsidRPr="00EC4873">
        <w:rPr>
          <w:rFonts w:ascii="Arial" w:hAnsi="Arial" w:cs="Arial"/>
        </w:rPr>
        <w:tab/>
        <w:t>Restricción de contratación de personal.</w:t>
      </w:r>
    </w:p>
    <w:p w:rsidR="00EC4873" w:rsidRP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D3.</w:t>
      </w:r>
      <w:r w:rsidRPr="00EC4873">
        <w:rPr>
          <w:rFonts w:ascii="Arial" w:hAnsi="Arial" w:cs="Arial"/>
        </w:rPr>
        <w:tab/>
        <w:t>Organigramas y manuales de operación obsoletos e inexistentes.</w:t>
      </w:r>
    </w:p>
    <w:p w:rsidR="00EC4873" w:rsidRP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D4.</w:t>
      </w:r>
      <w:r w:rsidRPr="00EC4873">
        <w:rPr>
          <w:rFonts w:ascii="Arial" w:hAnsi="Arial" w:cs="Arial"/>
        </w:rPr>
        <w:tab/>
        <w:t>Plazas congeladas.</w:t>
      </w:r>
    </w:p>
    <w:p w:rsidR="00EC4873" w:rsidRP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D5.</w:t>
      </w:r>
      <w:r w:rsidRPr="00EC4873">
        <w:rPr>
          <w:rFonts w:ascii="Arial" w:hAnsi="Arial" w:cs="Arial"/>
        </w:rPr>
        <w:tab/>
      </w:r>
      <w:r>
        <w:rPr>
          <w:rFonts w:ascii="Arial" w:hAnsi="Arial" w:cs="Arial"/>
        </w:rPr>
        <w:t>Vigencia de la administración municipal de 3 años</w:t>
      </w:r>
    </w:p>
    <w:p w:rsidR="00EC4873" w:rsidRDefault="00EC4873" w:rsidP="00EC4873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D6.</w:t>
      </w:r>
      <w:r w:rsidRPr="00EC4873">
        <w:rPr>
          <w:rFonts w:ascii="Arial" w:hAnsi="Arial" w:cs="Arial"/>
        </w:rPr>
        <w:tab/>
        <w:t>Parque vehicular obsoleto.</w:t>
      </w:r>
    </w:p>
    <w:p w:rsidR="00A808B7" w:rsidRDefault="00A808B7" w:rsidP="00EC4873">
      <w:pPr>
        <w:spacing w:after="0" w:line="276" w:lineRule="auto"/>
        <w:ind w:left="426" w:hanging="426"/>
        <w:rPr>
          <w:rFonts w:ascii="Arial" w:hAnsi="Arial" w:cs="Arial"/>
        </w:rPr>
      </w:pPr>
    </w:p>
    <w:p w:rsidR="00A808B7" w:rsidRDefault="00A808B7" w:rsidP="00A808B7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808B7">
        <w:rPr>
          <w:rFonts w:ascii="Arial" w:hAnsi="Arial" w:cs="Arial"/>
          <w:color w:val="auto"/>
          <w:sz w:val="22"/>
          <w:szCs w:val="22"/>
        </w:rPr>
        <w:t>Análisis Externo (Oportunidades)</w:t>
      </w:r>
    </w:p>
    <w:p w:rsidR="00A808B7" w:rsidRPr="00A808B7" w:rsidRDefault="00A808B7" w:rsidP="00A808B7"/>
    <w:p w:rsidR="00A808B7" w:rsidRPr="00A808B7" w:rsidRDefault="00A808B7" w:rsidP="00A808B7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O1.</w:t>
      </w:r>
      <w:r w:rsidRPr="00A808B7">
        <w:rPr>
          <w:rFonts w:ascii="Arial" w:hAnsi="Arial" w:cs="Arial"/>
        </w:rPr>
        <w:tab/>
        <w:t>Oportunidades de inversión de la iniciativa privada.</w:t>
      </w:r>
    </w:p>
    <w:p w:rsidR="00A808B7" w:rsidRPr="00A808B7" w:rsidRDefault="00A808B7" w:rsidP="00A808B7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O2.</w:t>
      </w:r>
      <w:r w:rsidRPr="00A808B7">
        <w:rPr>
          <w:rFonts w:ascii="Arial" w:hAnsi="Arial" w:cs="Arial"/>
        </w:rPr>
        <w:tab/>
        <w:t>Acceso a nuevas tecnologías.</w:t>
      </w:r>
    </w:p>
    <w:p w:rsidR="00A808B7" w:rsidRPr="00A808B7" w:rsidRDefault="00A808B7" w:rsidP="00A808B7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O3.</w:t>
      </w:r>
      <w:r w:rsidRPr="00A808B7">
        <w:rPr>
          <w:rFonts w:ascii="Arial" w:hAnsi="Arial" w:cs="Arial"/>
        </w:rPr>
        <w:tab/>
        <w:t>Innovación tecnológica.</w:t>
      </w:r>
    </w:p>
    <w:p w:rsidR="00A808B7" w:rsidRPr="00A808B7" w:rsidRDefault="00A808B7" w:rsidP="00A808B7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04.</w:t>
      </w:r>
      <w:r w:rsidRPr="00A808B7">
        <w:rPr>
          <w:rFonts w:ascii="Arial" w:hAnsi="Arial" w:cs="Arial"/>
        </w:rPr>
        <w:tab/>
      </w:r>
      <w:r w:rsidR="00040393">
        <w:rPr>
          <w:rFonts w:ascii="Arial" w:hAnsi="Arial" w:cs="Arial"/>
        </w:rPr>
        <w:t>Nuevas reformas constitucionales</w:t>
      </w:r>
    </w:p>
    <w:p w:rsidR="00A808B7" w:rsidRPr="00A808B7" w:rsidRDefault="00040393" w:rsidP="00A808B7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O5.</w:t>
      </w:r>
      <w:r>
        <w:rPr>
          <w:rFonts w:ascii="Arial" w:hAnsi="Arial" w:cs="Arial"/>
        </w:rPr>
        <w:tab/>
        <w:t>Acceso a desarrollos sociales con organismos internacionales</w:t>
      </w:r>
    </w:p>
    <w:p w:rsidR="00A808B7" w:rsidRDefault="00A808B7" w:rsidP="00EC4873">
      <w:pPr>
        <w:spacing w:after="0" w:line="276" w:lineRule="auto"/>
        <w:ind w:left="426" w:hanging="426"/>
        <w:rPr>
          <w:rFonts w:ascii="Arial" w:hAnsi="Arial" w:cs="Arial"/>
        </w:rPr>
      </w:pPr>
    </w:p>
    <w:p w:rsidR="00B37304" w:rsidRDefault="00B37304" w:rsidP="00B37304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B37304">
        <w:rPr>
          <w:rFonts w:ascii="Arial" w:hAnsi="Arial" w:cs="Arial"/>
          <w:color w:val="auto"/>
          <w:sz w:val="22"/>
          <w:szCs w:val="22"/>
        </w:rPr>
        <w:t>Análisis Externo (Amenazas)</w:t>
      </w:r>
    </w:p>
    <w:p w:rsidR="00B37304" w:rsidRPr="00B37304" w:rsidRDefault="00B37304" w:rsidP="00B37304"/>
    <w:p w:rsidR="00B37304" w:rsidRPr="00B37304" w:rsidRDefault="00B37304" w:rsidP="00B3730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A1. Recorte de presupuesto</w:t>
      </w:r>
    </w:p>
    <w:p w:rsidR="00B37304" w:rsidRPr="00B37304" w:rsidRDefault="00B37304" w:rsidP="00B37304">
      <w:pPr>
        <w:spacing w:after="0" w:line="276" w:lineRule="auto"/>
        <w:rPr>
          <w:rFonts w:ascii="Arial" w:hAnsi="Arial" w:cs="Arial"/>
        </w:rPr>
      </w:pPr>
      <w:r w:rsidRPr="00B37304">
        <w:rPr>
          <w:rFonts w:ascii="Arial" w:hAnsi="Arial" w:cs="Arial"/>
        </w:rPr>
        <w:t>A2. Falta de continuidad a los programas.</w:t>
      </w:r>
    </w:p>
    <w:p w:rsidR="00B37304" w:rsidRPr="00B37304" w:rsidRDefault="007870AE" w:rsidP="00B3730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A3</w:t>
      </w:r>
      <w:r w:rsidR="00B37304" w:rsidRPr="00B37304">
        <w:rPr>
          <w:rFonts w:ascii="Arial" w:hAnsi="Arial" w:cs="Arial"/>
        </w:rPr>
        <w:t xml:space="preserve">. Fenómenos </w:t>
      </w:r>
      <w:r w:rsidR="00B37304">
        <w:rPr>
          <w:rFonts w:ascii="Arial" w:hAnsi="Arial" w:cs="Arial"/>
        </w:rPr>
        <w:t>del cambio climático</w:t>
      </w:r>
      <w:r w:rsidR="00B37304" w:rsidRPr="00B37304">
        <w:rPr>
          <w:rFonts w:ascii="Arial" w:hAnsi="Arial" w:cs="Arial"/>
        </w:rPr>
        <w:t>.</w:t>
      </w:r>
    </w:p>
    <w:p w:rsidR="00B37304" w:rsidRPr="00B37304" w:rsidRDefault="007870AE" w:rsidP="00B3730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A4</w:t>
      </w:r>
      <w:r w:rsidR="00B37304" w:rsidRPr="00B37304">
        <w:rPr>
          <w:rFonts w:ascii="Arial" w:hAnsi="Arial" w:cs="Arial"/>
        </w:rPr>
        <w:t>. Interrupción de actividades por grupos sociales y sindicatos.</w:t>
      </w:r>
    </w:p>
    <w:p w:rsidR="00B37304" w:rsidRPr="00B37304" w:rsidRDefault="007870AE" w:rsidP="00B37304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A5</w:t>
      </w:r>
      <w:r w:rsidR="00B37304" w:rsidRPr="00B3730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Laudos y demandas laborales</w:t>
      </w:r>
      <w:r w:rsidR="00B37304" w:rsidRPr="00B37304">
        <w:rPr>
          <w:rFonts w:ascii="Arial" w:hAnsi="Arial" w:cs="Arial"/>
        </w:rPr>
        <w:t>.</w:t>
      </w:r>
    </w:p>
    <w:p w:rsidR="00B37304" w:rsidRPr="00EC4873" w:rsidRDefault="00B37304" w:rsidP="00EC4873">
      <w:pPr>
        <w:spacing w:after="0" w:line="276" w:lineRule="auto"/>
        <w:ind w:left="426" w:hanging="426"/>
        <w:rPr>
          <w:rFonts w:ascii="Arial" w:hAnsi="Arial" w:cs="Arial"/>
        </w:rPr>
      </w:pPr>
    </w:p>
    <w:p w:rsidR="00832A31" w:rsidRDefault="00832A31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3042C8" w:rsidRDefault="003042C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042C8" w:rsidRDefault="003042C8" w:rsidP="003042C8">
      <w:pPr>
        <w:pStyle w:val="Ttulo2"/>
        <w:rPr>
          <w:color w:val="auto"/>
        </w:rPr>
      </w:pPr>
    </w:p>
    <w:p w:rsidR="003042C8" w:rsidRDefault="003042C8" w:rsidP="003042C8">
      <w:pPr>
        <w:pStyle w:val="Ttulo2"/>
        <w:rPr>
          <w:color w:val="auto"/>
        </w:rPr>
      </w:pPr>
      <w:r w:rsidRPr="00DC3637">
        <w:rPr>
          <w:color w:val="auto"/>
        </w:rPr>
        <w:t>Matriz de Ponderación</w:t>
      </w:r>
      <w:r>
        <w:rPr>
          <w:color w:val="auto"/>
        </w:rPr>
        <w:t>.</w:t>
      </w:r>
    </w:p>
    <w:p w:rsidR="003042C8" w:rsidRPr="003042C8" w:rsidRDefault="003042C8" w:rsidP="003042C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3042C8" w:rsidRPr="00E252D4" w:rsidTr="003379CE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3042C8" w:rsidRPr="00E252D4" w:rsidRDefault="003042C8" w:rsidP="001940E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Análisis Interno (Fortalezas)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3042C8" w:rsidRPr="00E252D4" w:rsidTr="003379CE">
        <w:trPr>
          <w:jc w:val="center"/>
        </w:trPr>
        <w:tc>
          <w:tcPr>
            <w:tcW w:w="4928" w:type="dxa"/>
            <w:shd w:val="clear" w:color="auto" w:fill="auto"/>
          </w:tcPr>
          <w:p w:rsidR="003042C8" w:rsidRPr="00E252D4" w:rsidRDefault="003042C8" w:rsidP="007229C1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</w:tr>
      <w:tr w:rsidR="003042C8" w:rsidRPr="00E252D4" w:rsidTr="003379CE">
        <w:trPr>
          <w:jc w:val="center"/>
        </w:trPr>
        <w:tc>
          <w:tcPr>
            <w:tcW w:w="4928" w:type="dxa"/>
            <w:shd w:val="clear" w:color="auto" w:fill="auto"/>
          </w:tcPr>
          <w:p w:rsidR="003042C8" w:rsidRPr="00E252D4" w:rsidRDefault="007229C1" w:rsidP="007229C1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042C8" w:rsidRPr="00E252D4" w:rsidRDefault="003042C8" w:rsidP="003042C8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3042C8" w:rsidRPr="00E252D4" w:rsidRDefault="003042C8" w:rsidP="003042C8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42C8" w:rsidRPr="00E252D4" w:rsidRDefault="003042C8" w:rsidP="003042C8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</w:tr>
      <w:tr w:rsidR="003042C8" w:rsidRPr="00E252D4" w:rsidTr="003379CE">
        <w:trPr>
          <w:jc w:val="center"/>
        </w:trPr>
        <w:tc>
          <w:tcPr>
            <w:tcW w:w="4928" w:type="dxa"/>
            <w:shd w:val="clear" w:color="auto" w:fill="auto"/>
          </w:tcPr>
          <w:p w:rsidR="003042C8" w:rsidRPr="00E252D4" w:rsidRDefault="007229C1" w:rsidP="007229C1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3042C8" w:rsidRPr="00E252D4" w:rsidTr="003379CE">
        <w:trPr>
          <w:jc w:val="center"/>
        </w:trPr>
        <w:tc>
          <w:tcPr>
            <w:tcW w:w="4928" w:type="dxa"/>
            <w:shd w:val="clear" w:color="auto" w:fill="auto"/>
          </w:tcPr>
          <w:p w:rsidR="003042C8" w:rsidRPr="00E252D4" w:rsidRDefault="007229C1" w:rsidP="007229C1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042C8" w:rsidRPr="00E252D4" w:rsidRDefault="007229C1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42C8" w:rsidRPr="00E252D4" w:rsidRDefault="007229C1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</w:tr>
      <w:tr w:rsidR="003042C8" w:rsidRPr="00E252D4" w:rsidTr="003379CE">
        <w:trPr>
          <w:jc w:val="center"/>
        </w:trPr>
        <w:tc>
          <w:tcPr>
            <w:tcW w:w="4928" w:type="dxa"/>
            <w:shd w:val="clear" w:color="auto" w:fill="auto"/>
          </w:tcPr>
          <w:p w:rsidR="003042C8" w:rsidRPr="00E252D4" w:rsidRDefault="007229C1" w:rsidP="007229C1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042C8" w:rsidRPr="00E252D4" w:rsidRDefault="003042C8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3042C8" w:rsidRPr="00E252D4" w:rsidRDefault="007229C1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42C8" w:rsidRPr="00E252D4" w:rsidRDefault="007229C1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39643A" w:rsidRPr="00E252D4" w:rsidTr="00290214">
        <w:trPr>
          <w:jc w:val="center"/>
        </w:trPr>
        <w:tc>
          <w:tcPr>
            <w:tcW w:w="7669" w:type="dxa"/>
            <w:gridSpan w:val="3"/>
            <w:shd w:val="clear" w:color="auto" w:fill="auto"/>
          </w:tcPr>
          <w:p w:rsidR="0039643A" w:rsidRDefault="0039643A" w:rsidP="0039643A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9643A" w:rsidRDefault="0039643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40.2</w:t>
            </w:r>
          </w:p>
        </w:tc>
      </w:tr>
    </w:tbl>
    <w:p w:rsidR="003042C8" w:rsidRDefault="003042C8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BC60DB" w:rsidRDefault="00BC60DB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BC60DB" w:rsidRPr="00E252D4" w:rsidTr="00BC60DB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BC60DB" w:rsidRPr="00E252D4" w:rsidRDefault="00BC60DB" w:rsidP="001940E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Interno (Debilidades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252D4" w:rsidRDefault="00BC60DB" w:rsidP="00BC60DB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Pr="00E252D4" w:rsidRDefault="003379CE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252D4" w:rsidRDefault="00BC60DB" w:rsidP="00BC60DB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Pr="00E252D4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252D4" w:rsidRDefault="00BC60DB" w:rsidP="00BC60DB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Pr="00E252D4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252D4" w:rsidRDefault="00BC60DB" w:rsidP="00BC60DB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Pr="00E252D4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252D4" w:rsidRDefault="00BC60DB" w:rsidP="00BC60DB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Pr="00E252D4" w:rsidRDefault="00BC60DB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Pr="00E252D4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BC60DB" w:rsidRPr="00E252D4" w:rsidTr="003379CE">
        <w:tc>
          <w:tcPr>
            <w:tcW w:w="4928" w:type="dxa"/>
            <w:shd w:val="clear" w:color="auto" w:fill="auto"/>
          </w:tcPr>
          <w:p w:rsidR="00BC60DB" w:rsidRPr="00EC4873" w:rsidRDefault="00BC60DB" w:rsidP="00BC60DB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BC60DB" w:rsidRPr="00E252D4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C60DB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0.6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C60DB" w:rsidRDefault="009B5835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  <w:tr w:rsidR="0039643A" w:rsidRPr="00E252D4" w:rsidTr="00427AEE">
        <w:tc>
          <w:tcPr>
            <w:tcW w:w="7669" w:type="dxa"/>
            <w:gridSpan w:val="3"/>
            <w:shd w:val="clear" w:color="auto" w:fill="auto"/>
          </w:tcPr>
          <w:p w:rsidR="0039643A" w:rsidRDefault="0039643A" w:rsidP="0039643A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9643A" w:rsidRDefault="0039643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46.2</w:t>
            </w:r>
          </w:p>
        </w:tc>
      </w:tr>
    </w:tbl>
    <w:p w:rsidR="00832A31" w:rsidRDefault="00832A31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BC60DB" w:rsidRDefault="00BC60DB" w:rsidP="00BC60DB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282F82" w:rsidRPr="00E252D4" w:rsidTr="001940E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282F82" w:rsidRPr="00E252D4" w:rsidRDefault="00282F82" w:rsidP="00282F82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Externo (Oportunidades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282F82" w:rsidRPr="00E252D4" w:rsidTr="001940E5">
        <w:tc>
          <w:tcPr>
            <w:tcW w:w="4928" w:type="dxa"/>
            <w:shd w:val="clear" w:color="auto" w:fill="auto"/>
          </w:tcPr>
          <w:p w:rsidR="00282F82" w:rsidRPr="00E252D4" w:rsidRDefault="009B5835" w:rsidP="009B583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O1.</w:t>
            </w:r>
            <w:r w:rsidRPr="00A808B7">
              <w:rPr>
                <w:rFonts w:ascii="Arial" w:hAnsi="Arial" w:cs="Arial"/>
              </w:rPr>
              <w:tab/>
              <w:t>Oportunidades de inversión de la iniciativa privada.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282F82" w:rsidRPr="00E252D4" w:rsidTr="001940E5">
        <w:tc>
          <w:tcPr>
            <w:tcW w:w="4928" w:type="dxa"/>
            <w:shd w:val="clear" w:color="auto" w:fill="auto"/>
          </w:tcPr>
          <w:p w:rsidR="00282F82" w:rsidRPr="00E252D4" w:rsidRDefault="009B5835" w:rsidP="009B583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O2.</w:t>
            </w:r>
            <w:r w:rsidRPr="00A808B7">
              <w:rPr>
                <w:rFonts w:ascii="Arial" w:hAnsi="Arial" w:cs="Arial"/>
              </w:rPr>
              <w:tab/>
              <w:t>Acceso a nuevas tecnologías.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82F82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8.1</w:t>
            </w:r>
          </w:p>
        </w:tc>
      </w:tr>
      <w:tr w:rsidR="00282F82" w:rsidRPr="00E252D4" w:rsidTr="001940E5">
        <w:tc>
          <w:tcPr>
            <w:tcW w:w="4928" w:type="dxa"/>
            <w:shd w:val="clear" w:color="auto" w:fill="auto"/>
          </w:tcPr>
          <w:p w:rsidR="00282F82" w:rsidRPr="00E252D4" w:rsidRDefault="009B5835" w:rsidP="009B583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O3.</w:t>
            </w:r>
            <w:r w:rsidRPr="00A808B7">
              <w:rPr>
                <w:rFonts w:ascii="Arial" w:hAnsi="Arial" w:cs="Arial"/>
              </w:rPr>
              <w:tab/>
              <w:t>Innovación tecnológica.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82F82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7.2</w:t>
            </w:r>
          </w:p>
        </w:tc>
      </w:tr>
      <w:tr w:rsidR="00282F82" w:rsidRPr="00E252D4" w:rsidTr="001940E5">
        <w:tc>
          <w:tcPr>
            <w:tcW w:w="4928" w:type="dxa"/>
            <w:shd w:val="clear" w:color="auto" w:fill="auto"/>
          </w:tcPr>
          <w:p w:rsidR="00282F82" w:rsidRPr="00E252D4" w:rsidRDefault="00E3196C" w:rsidP="009B583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O</w:t>
            </w:r>
            <w:r w:rsidR="009B5835" w:rsidRPr="00A808B7">
              <w:rPr>
                <w:rFonts w:ascii="Arial" w:hAnsi="Arial" w:cs="Arial"/>
              </w:rPr>
              <w:t>4.</w:t>
            </w:r>
            <w:r w:rsidR="009B5835" w:rsidRPr="00A808B7">
              <w:rPr>
                <w:rFonts w:ascii="Arial" w:hAnsi="Arial" w:cs="Arial"/>
              </w:rPr>
              <w:tab/>
            </w:r>
            <w:r w:rsidR="009B5835">
              <w:rPr>
                <w:rFonts w:ascii="Arial" w:hAnsi="Arial" w:cs="Arial"/>
              </w:rPr>
              <w:t>Nuevas reformas constitucionales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82F82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282F82" w:rsidRPr="00E252D4" w:rsidTr="001940E5">
        <w:tc>
          <w:tcPr>
            <w:tcW w:w="4928" w:type="dxa"/>
            <w:shd w:val="clear" w:color="auto" w:fill="auto"/>
          </w:tcPr>
          <w:p w:rsidR="00282F82" w:rsidRPr="00E252D4" w:rsidRDefault="009B5835" w:rsidP="009B583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O5.</w:t>
            </w:r>
            <w:r>
              <w:rPr>
                <w:rFonts w:ascii="Arial" w:hAnsi="Arial" w:cs="Arial"/>
              </w:rPr>
              <w:tab/>
              <w:t>Acceso a desarrollos sociales con organismos internacionales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82F82" w:rsidRPr="00E252D4" w:rsidRDefault="004860A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282F82" w:rsidRPr="00E252D4" w:rsidRDefault="00282F82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</w:t>
            </w:r>
            <w:r w:rsidR="004860A8">
              <w:rPr>
                <w:rFonts w:cs="Calibri"/>
              </w:rPr>
              <w:t>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282F82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39643A" w:rsidRPr="00E252D4" w:rsidTr="009A1459">
        <w:tc>
          <w:tcPr>
            <w:tcW w:w="7669" w:type="dxa"/>
            <w:gridSpan w:val="3"/>
            <w:shd w:val="clear" w:color="auto" w:fill="auto"/>
          </w:tcPr>
          <w:p w:rsidR="0039643A" w:rsidRDefault="0039643A" w:rsidP="0039643A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9643A" w:rsidRDefault="00BF3149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41.3</w:t>
            </w:r>
          </w:p>
        </w:tc>
      </w:tr>
    </w:tbl>
    <w:p w:rsidR="00282F82" w:rsidRDefault="00282F82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BC60DB" w:rsidRDefault="00BC60DB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491CEA" w:rsidRPr="00E252D4" w:rsidTr="001940E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491CEA" w:rsidRPr="00E252D4" w:rsidRDefault="00491CEA" w:rsidP="00491CEA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Externo (Amenazas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491CEA" w:rsidRPr="00E252D4" w:rsidTr="001940E5">
        <w:tc>
          <w:tcPr>
            <w:tcW w:w="4928" w:type="dxa"/>
            <w:shd w:val="clear" w:color="auto" w:fill="auto"/>
          </w:tcPr>
          <w:p w:rsidR="00491CEA" w:rsidRPr="00E252D4" w:rsidRDefault="00491CEA" w:rsidP="00491CEA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91CEA" w:rsidRPr="00E252D4" w:rsidRDefault="00951E4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491CEA" w:rsidRPr="00E252D4" w:rsidTr="001940E5">
        <w:tc>
          <w:tcPr>
            <w:tcW w:w="4928" w:type="dxa"/>
            <w:shd w:val="clear" w:color="auto" w:fill="auto"/>
          </w:tcPr>
          <w:p w:rsidR="00491CEA" w:rsidRPr="00E252D4" w:rsidRDefault="00491CEA" w:rsidP="00491CEA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91CEA" w:rsidRPr="00E252D4" w:rsidRDefault="00951E4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8.1</w:t>
            </w:r>
          </w:p>
        </w:tc>
      </w:tr>
      <w:tr w:rsidR="00491CEA" w:rsidRPr="00E252D4" w:rsidTr="001940E5">
        <w:tc>
          <w:tcPr>
            <w:tcW w:w="4928" w:type="dxa"/>
            <w:shd w:val="clear" w:color="auto" w:fill="auto"/>
          </w:tcPr>
          <w:p w:rsidR="00491CEA" w:rsidRPr="00E252D4" w:rsidRDefault="00491CEA" w:rsidP="00491CEA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A3</w:t>
            </w:r>
            <w:r w:rsidRPr="00B37304">
              <w:rPr>
                <w:rFonts w:ascii="Arial" w:hAnsi="Arial" w:cs="Arial"/>
              </w:rPr>
              <w:t xml:space="preserve">. Fenómenos </w:t>
            </w:r>
            <w:r>
              <w:rPr>
                <w:rFonts w:ascii="Arial" w:hAnsi="Arial" w:cs="Arial"/>
              </w:rPr>
              <w:t>del cambio climático</w:t>
            </w:r>
            <w:r w:rsidRPr="00B37304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91CEA" w:rsidRPr="00E252D4" w:rsidRDefault="00951E4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7.2</w:t>
            </w:r>
          </w:p>
        </w:tc>
      </w:tr>
      <w:tr w:rsidR="00491CEA" w:rsidRPr="00E252D4" w:rsidTr="001940E5">
        <w:tc>
          <w:tcPr>
            <w:tcW w:w="4928" w:type="dxa"/>
            <w:shd w:val="clear" w:color="auto" w:fill="auto"/>
          </w:tcPr>
          <w:p w:rsidR="00491CEA" w:rsidRPr="00E252D4" w:rsidRDefault="00491CEA" w:rsidP="00491CEA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91CEA" w:rsidRPr="00E252D4" w:rsidRDefault="00951E4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6.3</w:t>
            </w:r>
          </w:p>
        </w:tc>
      </w:tr>
      <w:tr w:rsidR="00491CEA" w:rsidRPr="00E252D4" w:rsidTr="001940E5">
        <w:tc>
          <w:tcPr>
            <w:tcW w:w="4928" w:type="dxa"/>
            <w:shd w:val="clear" w:color="auto" w:fill="auto"/>
          </w:tcPr>
          <w:p w:rsidR="00491CEA" w:rsidRPr="00E252D4" w:rsidRDefault="00491CEA" w:rsidP="00491CEA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A5</w:t>
            </w:r>
            <w:r w:rsidRPr="00B3730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Laudos y demandas laborales</w:t>
            </w:r>
            <w:r w:rsidRPr="00B37304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491CEA" w:rsidRPr="00E252D4" w:rsidRDefault="00491CEA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91CEA" w:rsidRPr="00E252D4" w:rsidRDefault="00951E48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6.3</w:t>
            </w:r>
          </w:p>
        </w:tc>
      </w:tr>
      <w:tr w:rsidR="0039643A" w:rsidRPr="00E252D4" w:rsidTr="00765F4A">
        <w:tc>
          <w:tcPr>
            <w:tcW w:w="7669" w:type="dxa"/>
            <w:gridSpan w:val="3"/>
            <w:shd w:val="clear" w:color="auto" w:fill="auto"/>
          </w:tcPr>
          <w:p w:rsidR="0039643A" w:rsidRDefault="0039643A" w:rsidP="0039643A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9643A" w:rsidRDefault="00BF3149" w:rsidP="001940E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35.9</w:t>
            </w:r>
          </w:p>
        </w:tc>
      </w:tr>
    </w:tbl>
    <w:p w:rsidR="00491CEA" w:rsidRDefault="00491CEA" w:rsidP="00BC60DB">
      <w:pPr>
        <w:spacing w:after="0" w:line="276" w:lineRule="auto"/>
        <w:ind w:left="426" w:hanging="426"/>
        <w:rPr>
          <w:rFonts w:ascii="Arial" w:hAnsi="Arial" w:cs="Arial"/>
        </w:rPr>
      </w:pPr>
    </w:p>
    <w:p w:rsidR="00D32892" w:rsidRDefault="00D32892" w:rsidP="00D32892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32892" w:rsidRDefault="00D32892" w:rsidP="00D32892">
      <w:pPr>
        <w:pStyle w:val="Ttulo2"/>
        <w:rPr>
          <w:color w:val="auto"/>
        </w:rPr>
      </w:pPr>
      <w:r w:rsidRPr="00DC3637">
        <w:rPr>
          <w:color w:val="auto"/>
        </w:rPr>
        <w:t>MATRIZ DE PO</w:t>
      </w:r>
      <w:r>
        <w:rPr>
          <w:color w:val="auto"/>
        </w:rPr>
        <w:t>SICIONAMIENTO</w:t>
      </w:r>
    </w:p>
    <w:p w:rsidR="00BC60DB" w:rsidRDefault="00BC60DB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4658A7" w:rsidRDefault="004658A7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24BF3F2B" wp14:editId="57E70E04">
            <wp:simplePos x="0" y="0"/>
            <wp:positionH relativeFrom="column">
              <wp:posOffset>481965</wp:posOffset>
            </wp:positionH>
            <wp:positionV relativeFrom="paragraph">
              <wp:posOffset>81280</wp:posOffset>
            </wp:positionV>
            <wp:extent cx="4617720" cy="318342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6" t="23898" r="21656" b="10200"/>
                    <a:stretch/>
                  </pic:blipFill>
                  <pic:spPr bwMode="auto">
                    <a:xfrm>
                      <a:off x="0" y="0"/>
                      <a:ext cx="4617720" cy="318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772542" w:rsidRDefault="0077254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D32892" w:rsidRDefault="00D32892" w:rsidP="00BD575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BC60DB" w:rsidRDefault="00772542" w:rsidP="0077254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772542">
        <w:rPr>
          <w:rFonts w:ascii="Arial" w:hAnsi="Arial" w:cs="Arial"/>
        </w:rPr>
        <w:t xml:space="preserve">En la Matriz de posicionamiento se observó en el análisis realizado ubica al </w:t>
      </w:r>
      <w:r>
        <w:rPr>
          <w:rFonts w:ascii="Arial" w:hAnsi="Arial" w:cs="Arial"/>
        </w:rPr>
        <w:t>municipio de la libertad</w:t>
      </w:r>
      <w:r w:rsidR="00804CC8">
        <w:rPr>
          <w:rFonts w:ascii="Arial" w:hAnsi="Arial" w:cs="Arial"/>
        </w:rPr>
        <w:t xml:space="preserve"> en una competitividad baja</w:t>
      </w:r>
      <w:r w:rsidRPr="00772542">
        <w:rPr>
          <w:rFonts w:ascii="Arial" w:hAnsi="Arial" w:cs="Arial"/>
        </w:rPr>
        <w:t xml:space="preserve"> y una atractividad a</w:t>
      </w:r>
      <w:r w:rsidR="00804CC8">
        <w:rPr>
          <w:rFonts w:ascii="Arial" w:hAnsi="Arial" w:cs="Arial"/>
        </w:rPr>
        <w:t>lta</w:t>
      </w:r>
      <w:r w:rsidRPr="00772542">
        <w:rPr>
          <w:rFonts w:ascii="Arial" w:hAnsi="Arial" w:cs="Arial"/>
        </w:rPr>
        <w:t>, lo que sugiere la implementación de estrategias que permitan mantener y mejoras los procesos y los resultados.</w:t>
      </w:r>
    </w:p>
    <w:p w:rsidR="00804CC8" w:rsidRDefault="00804CC8" w:rsidP="0077254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804CC8" w:rsidRPr="00772542" w:rsidRDefault="00804CC8" w:rsidP="0077254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8D702B" w:rsidRDefault="008D702B" w:rsidP="008D702B">
      <w:pPr>
        <w:tabs>
          <w:tab w:val="num" w:pos="0"/>
        </w:tabs>
        <w:rPr>
          <w:rFonts w:asciiTheme="majorHAnsi" w:hAnsiTheme="majorHAnsi"/>
          <w:sz w:val="24"/>
        </w:rPr>
      </w:pPr>
    </w:p>
    <w:p w:rsidR="00F82002" w:rsidRDefault="00EB0517" w:rsidP="008D702B">
      <w:pPr>
        <w:tabs>
          <w:tab w:val="num" w:pos="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MATRIZ DE FODA</w:t>
      </w:r>
    </w:p>
    <w:p w:rsidR="004658A7" w:rsidRDefault="004658A7" w:rsidP="008D702B">
      <w:pPr>
        <w:tabs>
          <w:tab w:val="num" w:pos="0"/>
        </w:tabs>
        <w:rPr>
          <w:rFonts w:asciiTheme="majorHAnsi" w:hAnsiTheme="majorHAnsi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974E7E" w:rsidRPr="00E252D4" w:rsidTr="00D64EE1">
        <w:trPr>
          <w:trHeight w:val="315"/>
          <w:jc w:val="center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974E7E" w:rsidRPr="00785639" w:rsidRDefault="00974E7E" w:rsidP="00F97266">
            <w:pPr>
              <w:spacing w:after="0"/>
              <w:jc w:val="center"/>
              <w:rPr>
                <w:rFonts w:cs="Calibri"/>
                <w:b/>
              </w:rPr>
            </w:pPr>
            <w:r w:rsidRPr="00785639">
              <w:rPr>
                <w:rFonts w:cs="Calibri"/>
                <w:b/>
              </w:rPr>
              <w:t>ESTRATEGIAS FO</w:t>
            </w:r>
          </w:p>
        </w:tc>
      </w:tr>
      <w:tr w:rsidR="00974E7E" w:rsidRPr="00E252D4" w:rsidTr="003B344C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974E7E" w:rsidRPr="00E252D4" w:rsidRDefault="00974E7E" w:rsidP="00785639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FORTALEZAS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974E7E" w:rsidRPr="00E252D4" w:rsidRDefault="00974E7E" w:rsidP="00785639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OPORTUNIDADES</w:t>
            </w:r>
          </w:p>
        </w:tc>
      </w:tr>
      <w:tr w:rsidR="008030B0" w:rsidRPr="00E252D4" w:rsidTr="00D10041">
        <w:trPr>
          <w:jc w:val="center"/>
        </w:trPr>
        <w:tc>
          <w:tcPr>
            <w:tcW w:w="4928" w:type="dxa"/>
            <w:shd w:val="clear" w:color="auto" w:fill="auto"/>
          </w:tcPr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4126" w:type="dxa"/>
            <w:shd w:val="clear" w:color="auto" w:fill="auto"/>
          </w:tcPr>
          <w:p w:rsidR="008030B0" w:rsidRDefault="008030B0" w:rsidP="008030B0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O4. </w:t>
            </w:r>
            <w:r>
              <w:rPr>
                <w:rFonts w:ascii="Arial" w:hAnsi="Arial" w:cs="Arial"/>
              </w:rPr>
              <w:t>Nuevas reformas constitucionales</w:t>
            </w:r>
          </w:p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O1.</w:t>
            </w:r>
            <w:r w:rsidRPr="00A808B7">
              <w:rPr>
                <w:rFonts w:ascii="Arial" w:hAnsi="Arial" w:cs="Arial"/>
              </w:rPr>
              <w:tab/>
              <w:t>O</w:t>
            </w:r>
            <w:r w:rsidR="00F5660D">
              <w:rPr>
                <w:rFonts w:ascii="Arial" w:hAnsi="Arial" w:cs="Arial"/>
              </w:rPr>
              <w:t xml:space="preserve">portunidades de inversión de la </w:t>
            </w:r>
            <w:r w:rsidRPr="00A808B7">
              <w:rPr>
                <w:rFonts w:ascii="Arial" w:hAnsi="Arial" w:cs="Arial"/>
              </w:rPr>
              <w:t>iniciativa privada.</w:t>
            </w:r>
          </w:p>
        </w:tc>
      </w:tr>
      <w:tr w:rsidR="008030B0" w:rsidRPr="00E252D4" w:rsidTr="0074263D">
        <w:trPr>
          <w:jc w:val="center"/>
        </w:trPr>
        <w:tc>
          <w:tcPr>
            <w:tcW w:w="4928" w:type="dxa"/>
            <w:shd w:val="clear" w:color="auto" w:fill="auto"/>
          </w:tcPr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8030B0" w:rsidRPr="00E252D4" w:rsidRDefault="008030B0" w:rsidP="008030B0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8030B0" w:rsidRPr="00E252D4" w:rsidTr="006E30AA">
        <w:trPr>
          <w:jc w:val="center"/>
        </w:trPr>
        <w:tc>
          <w:tcPr>
            <w:tcW w:w="4928" w:type="dxa"/>
            <w:shd w:val="clear" w:color="auto" w:fill="auto"/>
          </w:tcPr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8030B0" w:rsidRDefault="008030B0" w:rsidP="008030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O5.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Acceso a desarrollos sociales con organismos internacionales</w:t>
            </w:r>
            <w:r>
              <w:rPr>
                <w:rFonts w:ascii="Arial" w:hAnsi="Arial" w:cs="Arial"/>
              </w:rPr>
              <w:t>.</w:t>
            </w:r>
          </w:p>
          <w:p w:rsidR="0022552A" w:rsidRDefault="0022552A" w:rsidP="008030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F5660D" w:rsidRPr="00E252D4" w:rsidRDefault="00F5660D" w:rsidP="008030B0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8030B0" w:rsidRPr="00E252D4" w:rsidTr="004426BD">
        <w:trPr>
          <w:jc w:val="center"/>
        </w:trPr>
        <w:tc>
          <w:tcPr>
            <w:tcW w:w="4928" w:type="dxa"/>
            <w:shd w:val="clear" w:color="auto" w:fill="auto"/>
          </w:tcPr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F5660D" w:rsidRDefault="00F5660D" w:rsidP="00F5660D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</w:t>
            </w:r>
          </w:p>
          <w:p w:rsidR="00F5660D" w:rsidRDefault="00F5660D" w:rsidP="00F566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O5.  Acceso a desarrollos sociales con organismos internacionales.</w:t>
            </w:r>
          </w:p>
          <w:p w:rsidR="00F5660D" w:rsidRPr="00F5660D" w:rsidRDefault="00F5660D" w:rsidP="00F566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8030B0" w:rsidRPr="00E252D4" w:rsidTr="00F742AE">
        <w:trPr>
          <w:jc w:val="center"/>
        </w:trPr>
        <w:tc>
          <w:tcPr>
            <w:tcW w:w="4928" w:type="dxa"/>
            <w:shd w:val="clear" w:color="auto" w:fill="auto"/>
          </w:tcPr>
          <w:p w:rsidR="008030B0" w:rsidRPr="00E252D4" w:rsidRDefault="008030B0" w:rsidP="008030B0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8030B0" w:rsidRPr="00E252D4" w:rsidRDefault="00F5660D" w:rsidP="00F5660D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</w:tbl>
    <w:p w:rsidR="00EB0517" w:rsidRDefault="00EB0517" w:rsidP="008D702B">
      <w:pPr>
        <w:tabs>
          <w:tab w:val="num" w:pos="0"/>
        </w:tabs>
        <w:rPr>
          <w:rFonts w:asciiTheme="majorHAnsi" w:hAnsiTheme="majorHAnsi"/>
          <w:sz w:val="24"/>
        </w:rPr>
      </w:pPr>
    </w:p>
    <w:bookmarkEnd w:id="3"/>
    <w:bookmarkEnd w:id="4"/>
    <w:p w:rsidR="00C728C2" w:rsidRDefault="00C728C2" w:rsidP="00C728C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C728C2" w:rsidRPr="00E252D4" w:rsidTr="0068611F">
        <w:trPr>
          <w:trHeight w:val="315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C728C2" w:rsidRPr="00E252D4" w:rsidRDefault="00C728C2" w:rsidP="00F97266">
            <w:pPr>
              <w:spacing w:after="0"/>
              <w:jc w:val="center"/>
              <w:rPr>
                <w:rFonts w:cs="Calibri"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D</w:t>
            </w:r>
            <w:r w:rsidRPr="00785639">
              <w:rPr>
                <w:rFonts w:cs="Calibri"/>
                <w:b/>
              </w:rPr>
              <w:t>O</w:t>
            </w:r>
          </w:p>
        </w:tc>
      </w:tr>
      <w:tr w:rsidR="00C728C2" w:rsidRPr="00E252D4" w:rsidTr="00515727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C728C2" w:rsidRPr="00E252D4" w:rsidRDefault="00124B03" w:rsidP="00C728C2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DEBILIDADES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C728C2" w:rsidRPr="00E252D4" w:rsidRDefault="00C728C2" w:rsidP="00C728C2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OPORTUNIDADES</w:t>
            </w:r>
          </w:p>
        </w:tc>
      </w:tr>
      <w:tr w:rsidR="001E5CCF" w:rsidRPr="00E252D4" w:rsidTr="005825C5">
        <w:tc>
          <w:tcPr>
            <w:tcW w:w="4928" w:type="dxa"/>
            <w:shd w:val="clear" w:color="auto" w:fill="auto"/>
          </w:tcPr>
          <w:p w:rsidR="001E5CCF" w:rsidRPr="00E252D4" w:rsidRDefault="001E5CCF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E5CCF" w:rsidRDefault="001449B4" w:rsidP="001449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  <w:p w:rsidR="00892943" w:rsidRPr="00E252D4" w:rsidRDefault="00892943" w:rsidP="001449B4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1E5CCF" w:rsidRPr="00E252D4" w:rsidTr="00480EDD">
        <w:tc>
          <w:tcPr>
            <w:tcW w:w="4928" w:type="dxa"/>
            <w:shd w:val="clear" w:color="auto" w:fill="auto"/>
          </w:tcPr>
          <w:p w:rsidR="001E5CCF" w:rsidRPr="00E252D4" w:rsidRDefault="001E5CCF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E5CCF" w:rsidRPr="00E252D4" w:rsidRDefault="001449B4" w:rsidP="001449B4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portunidades de inversión de la </w:t>
            </w:r>
            <w:r w:rsidRPr="00A808B7">
              <w:rPr>
                <w:rFonts w:ascii="Arial" w:hAnsi="Arial" w:cs="Arial"/>
              </w:rPr>
              <w:t>iniciativa privada.</w:t>
            </w:r>
          </w:p>
        </w:tc>
      </w:tr>
      <w:tr w:rsidR="001E5CCF" w:rsidRPr="00E252D4" w:rsidTr="00B804AE">
        <w:tc>
          <w:tcPr>
            <w:tcW w:w="4928" w:type="dxa"/>
            <w:shd w:val="clear" w:color="auto" w:fill="auto"/>
          </w:tcPr>
          <w:p w:rsidR="001E5CCF" w:rsidRPr="00E252D4" w:rsidRDefault="001E5CCF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892943" w:rsidRDefault="00892943" w:rsidP="0089294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1E5CCF" w:rsidRDefault="00892943" w:rsidP="0089294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  <w:p w:rsidR="00892943" w:rsidRPr="00E252D4" w:rsidRDefault="00892943" w:rsidP="00892943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1E5CCF" w:rsidRPr="00E252D4" w:rsidTr="00DE7861">
        <w:tc>
          <w:tcPr>
            <w:tcW w:w="4928" w:type="dxa"/>
            <w:shd w:val="clear" w:color="auto" w:fill="auto"/>
          </w:tcPr>
          <w:p w:rsidR="001E5CCF" w:rsidRPr="00E252D4" w:rsidRDefault="001E5CCF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E5CCF" w:rsidRDefault="00286044" w:rsidP="00286044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  <w:p w:rsidR="00286044" w:rsidRDefault="00286044" w:rsidP="0028604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286044" w:rsidRPr="00E252D4" w:rsidRDefault="00286044" w:rsidP="00286044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1E5CCF" w:rsidRPr="00E252D4" w:rsidTr="00885BE3">
        <w:tc>
          <w:tcPr>
            <w:tcW w:w="4928" w:type="dxa"/>
            <w:shd w:val="clear" w:color="auto" w:fill="auto"/>
          </w:tcPr>
          <w:p w:rsidR="001E5CCF" w:rsidRPr="00E252D4" w:rsidRDefault="001E5CCF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E5CCF" w:rsidRDefault="00286044" w:rsidP="00286044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  <w:p w:rsidR="000D6AAB" w:rsidRPr="000D6AAB" w:rsidRDefault="000D6AAB" w:rsidP="0028604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O5.  Acceso a desarrollos sociales con </w:t>
            </w:r>
            <w:r>
              <w:rPr>
                <w:rFonts w:ascii="Arial" w:hAnsi="Arial" w:cs="Arial"/>
              </w:rPr>
              <w:lastRenderedPageBreak/>
              <w:t>organismos internacionales.</w:t>
            </w:r>
          </w:p>
        </w:tc>
      </w:tr>
      <w:tr w:rsidR="001E5CCF" w:rsidRPr="00E252D4" w:rsidTr="00DE29A9">
        <w:tc>
          <w:tcPr>
            <w:tcW w:w="4928" w:type="dxa"/>
            <w:shd w:val="clear" w:color="auto" w:fill="auto"/>
          </w:tcPr>
          <w:p w:rsidR="001E5CCF" w:rsidRPr="00EC4873" w:rsidRDefault="001E5CCF" w:rsidP="00F97266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lastRenderedPageBreak/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E5CCF" w:rsidRDefault="000D6AAB" w:rsidP="000D6AAB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</w:t>
            </w:r>
          </w:p>
        </w:tc>
      </w:tr>
    </w:tbl>
    <w:p w:rsidR="00C728C2" w:rsidRDefault="00C728C2" w:rsidP="00C728C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C728C2" w:rsidRDefault="00C728C2" w:rsidP="00C728C2">
      <w:pPr>
        <w:spacing w:after="0" w:line="276" w:lineRule="auto"/>
        <w:ind w:left="426" w:hanging="426"/>
        <w:rPr>
          <w:rFonts w:ascii="Arial" w:hAnsi="Arial" w:cs="Arial"/>
        </w:rPr>
      </w:pPr>
    </w:p>
    <w:p w:rsidR="00C728C2" w:rsidRDefault="00C728C2" w:rsidP="00C728C2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983198" w:rsidRPr="00E252D4" w:rsidTr="00F97266">
        <w:trPr>
          <w:trHeight w:val="315"/>
          <w:jc w:val="center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983198" w:rsidRPr="00785639" w:rsidRDefault="00983198" w:rsidP="00F97266">
            <w:pPr>
              <w:spacing w:after="0"/>
              <w:jc w:val="center"/>
              <w:rPr>
                <w:rFonts w:cs="Calibri"/>
                <w:b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FA</w:t>
            </w:r>
          </w:p>
        </w:tc>
      </w:tr>
      <w:tr w:rsidR="00983198" w:rsidRPr="00E252D4" w:rsidTr="00F97266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983198" w:rsidRPr="00E252D4" w:rsidRDefault="00983198" w:rsidP="00F97266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FORTALEZAS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983198" w:rsidRPr="00E252D4" w:rsidRDefault="00983198" w:rsidP="00F97266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AMENAZAS</w:t>
            </w:r>
          </w:p>
        </w:tc>
      </w:tr>
      <w:tr w:rsidR="00CB3044" w:rsidRPr="00E252D4" w:rsidTr="00F97266">
        <w:trPr>
          <w:jc w:val="center"/>
        </w:trPr>
        <w:tc>
          <w:tcPr>
            <w:tcW w:w="4928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4126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CB3044" w:rsidRPr="00E252D4" w:rsidTr="00495D71">
        <w:trPr>
          <w:jc w:val="center"/>
        </w:trPr>
        <w:tc>
          <w:tcPr>
            <w:tcW w:w="4928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4126" w:type="dxa"/>
            <w:shd w:val="clear" w:color="auto" w:fill="auto"/>
          </w:tcPr>
          <w:p w:rsidR="00CB3044" w:rsidRDefault="00CB3044" w:rsidP="00CB304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CB3044" w:rsidRPr="00E252D4" w:rsidRDefault="00CB3044" w:rsidP="00CB3044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</w:p>
        </w:tc>
      </w:tr>
      <w:tr w:rsidR="00CB3044" w:rsidRPr="00E252D4" w:rsidTr="00F97266">
        <w:trPr>
          <w:jc w:val="center"/>
        </w:trPr>
        <w:tc>
          <w:tcPr>
            <w:tcW w:w="4928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CB3044" w:rsidRDefault="00CB3044" w:rsidP="00CB304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  <w:p w:rsidR="00CB3044" w:rsidRPr="00E252D4" w:rsidRDefault="00853154" w:rsidP="00CB3044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A3 </w:t>
            </w:r>
            <w:r w:rsidRPr="00B37304">
              <w:rPr>
                <w:rFonts w:ascii="Arial" w:hAnsi="Arial" w:cs="Arial"/>
              </w:rPr>
              <w:t xml:space="preserve">Fenómenos </w:t>
            </w:r>
            <w:r>
              <w:rPr>
                <w:rFonts w:ascii="Arial" w:hAnsi="Arial" w:cs="Arial"/>
              </w:rPr>
              <w:t>del cambio climático</w:t>
            </w:r>
            <w:r w:rsidRPr="00B37304">
              <w:rPr>
                <w:rFonts w:ascii="Arial" w:hAnsi="Arial" w:cs="Arial"/>
              </w:rPr>
              <w:t>.</w:t>
            </w:r>
          </w:p>
        </w:tc>
      </w:tr>
      <w:tr w:rsidR="00CB3044" w:rsidRPr="00E252D4" w:rsidTr="002A7F99">
        <w:trPr>
          <w:jc w:val="center"/>
        </w:trPr>
        <w:tc>
          <w:tcPr>
            <w:tcW w:w="4928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4126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A5</w:t>
            </w:r>
            <w:r w:rsidRPr="00B3730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Laudos y demandas laborales</w:t>
            </w:r>
            <w:r w:rsidRPr="00B37304">
              <w:rPr>
                <w:rFonts w:ascii="Arial" w:hAnsi="Arial" w:cs="Arial"/>
              </w:rPr>
              <w:t>.</w:t>
            </w:r>
          </w:p>
        </w:tc>
      </w:tr>
      <w:tr w:rsidR="00CB3044" w:rsidRPr="00E252D4" w:rsidTr="00F97266">
        <w:trPr>
          <w:jc w:val="center"/>
        </w:trPr>
        <w:tc>
          <w:tcPr>
            <w:tcW w:w="4928" w:type="dxa"/>
            <w:shd w:val="clear" w:color="auto" w:fill="auto"/>
          </w:tcPr>
          <w:p w:rsidR="00CB3044" w:rsidRPr="00E252D4" w:rsidRDefault="00CB3044" w:rsidP="00CB3044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755E3" w:rsidRDefault="005755E3" w:rsidP="005755E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CB3044" w:rsidRPr="00E252D4" w:rsidRDefault="005755E3" w:rsidP="00CB3044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</w:tbl>
    <w:p w:rsidR="008D702B" w:rsidRDefault="008D702B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D26E99" w:rsidRDefault="00D26E99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D26E99" w:rsidRPr="00E252D4" w:rsidTr="00F97266">
        <w:trPr>
          <w:trHeight w:val="315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D26E99" w:rsidRPr="00E252D4" w:rsidRDefault="00D26E99" w:rsidP="00F97266">
            <w:pPr>
              <w:spacing w:after="0"/>
              <w:jc w:val="center"/>
              <w:rPr>
                <w:rFonts w:cs="Calibri"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D</w:t>
            </w:r>
            <w:r w:rsidRPr="00785639">
              <w:rPr>
                <w:rFonts w:cs="Calibri"/>
                <w:b/>
              </w:rPr>
              <w:t>O</w:t>
            </w:r>
          </w:p>
        </w:tc>
      </w:tr>
      <w:tr w:rsidR="00D26E99" w:rsidRPr="00E252D4" w:rsidTr="00F97266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D26E99" w:rsidRPr="00E252D4" w:rsidRDefault="00D26E99" w:rsidP="00F97266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DEBILIDADES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D26E99" w:rsidRPr="00E252D4" w:rsidRDefault="00D26E99" w:rsidP="00F97266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AMENAZAS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252D4" w:rsidRDefault="00D26E99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056C3" w:rsidRDefault="001056C3" w:rsidP="001056C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D26E99" w:rsidRPr="00E252D4" w:rsidRDefault="001056C3" w:rsidP="001056C3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252D4" w:rsidRDefault="00D26E99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056C3" w:rsidRDefault="001056C3" w:rsidP="001056C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D26E99" w:rsidRPr="00E252D4" w:rsidRDefault="001056C3" w:rsidP="001056C3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252D4" w:rsidRDefault="00D26E99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D26E99" w:rsidRPr="001C326C" w:rsidRDefault="001C326C" w:rsidP="00F9726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252D4" w:rsidRDefault="00D26E99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1C326C" w:rsidRDefault="001C326C" w:rsidP="001C326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D26E99" w:rsidRPr="00E252D4" w:rsidRDefault="001C326C" w:rsidP="001C326C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252D4" w:rsidRDefault="00D26E99" w:rsidP="00F97266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D26E99" w:rsidRPr="000D6AAB" w:rsidRDefault="001C326C" w:rsidP="00F97266">
            <w:pPr>
              <w:spacing w:after="0"/>
              <w:rPr>
                <w:rFonts w:ascii="Arial" w:hAnsi="Arial" w:cs="Arial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D26E99" w:rsidRPr="00E252D4" w:rsidTr="00F97266">
        <w:tc>
          <w:tcPr>
            <w:tcW w:w="4928" w:type="dxa"/>
            <w:shd w:val="clear" w:color="auto" w:fill="auto"/>
          </w:tcPr>
          <w:p w:rsidR="00D26E99" w:rsidRPr="00EC4873" w:rsidRDefault="00D26E99" w:rsidP="00F97266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D26E99" w:rsidRPr="001C326C" w:rsidRDefault="001C326C" w:rsidP="001C326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  <w:bookmarkStart w:id="5" w:name="_GoBack"/>
            <w:bookmarkEnd w:id="5"/>
          </w:p>
        </w:tc>
      </w:tr>
    </w:tbl>
    <w:p w:rsidR="00D26E99" w:rsidRPr="00BD124A" w:rsidRDefault="00D26E99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sectPr w:rsidR="00D26E99" w:rsidRPr="00BD124A" w:rsidSect="00784F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BA0" w:rsidRDefault="00D07BA0" w:rsidP="006C1904">
      <w:pPr>
        <w:spacing w:after="0" w:line="240" w:lineRule="auto"/>
      </w:pPr>
      <w:r>
        <w:separator/>
      </w:r>
    </w:p>
  </w:endnote>
  <w:endnote w:type="continuationSeparator" w:id="0">
    <w:p w:rsidR="00D07BA0" w:rsidRDefault="00D07BA0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9A9" w:rsidRDefault="00D07BA0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>
            <w:txbxContent>
              <w:p w:rsidR="001439A9" w:rsidRPr="001439A9" w:rsidRDefault="00784F59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="001439A9"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1C326C" w:rsidRPr="001C326C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7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1439A9" w:rsidRDefault="00143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BA0" w:rsidRDefault="00D07BA0" w:rsidP="006C1904">
      <w:pPr>
        <w:spacing w:after="0" w:line="240" w:lineRule="auto"/>
      </w:pPr>
      <w:r>
        <w:separator/>
      </w:r>
    </w:p>
  </w:footnote>
  <w:footnote w:type="continuationSeparator" w:id="0">
    <w:p w:rsidR="00D07BA0" w:rsidRDefault="00D07BA0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04" w:rsidRPr="00F07471" w:rsidRDefault="00F07471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3" name="Imagen 3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1" name="Imagen 1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5394"/>
    <w:multiLevelType w:val="hybridMultilevel"/>
    <w:tmpl w:val="29540154"/>
    <w:lvl w:ilvl="0" w:tplc="5C941E4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11FD5"/>
    <w:multiLevelType w:val="multilevel"/>
    <w:tmpl w:val="D62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3"/>
  </w:num>
  <w:num w:numId="6">
    <w:abstractNumId w:val="6"/>
  </w:num>
  <w:num w:numId="7">
    <w:abstractNumId w:val="11"/>
  </w:num>
  <w:num w:numId="8">
    <w:abstractNumId w:val="14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23B84"/>
    <w:rsid w:val="00040393"/>
    <w:rsid w:val="000440DD"/>
    <w:rsid w:val="00094DA8"/>
    <w:rsid w:val="000B1FC8"/>
    <w:rsid w:val="000C3CA0"/>
    <w:rsid w:val="000D0C7C"/>
    <w:rsid w:val="000D6AAB"/>
    <w:rsid w:val="001056C3"/>
    <w:rsid w:val="00124B03"/>
    <w:rsid w:val="001252DC"/>
    <w:rsid w:val="001439A9"/>
    <w:rsid w:val="00143E89"/>
    <w:rsid w:val="001449B4"/>
    <w:rsid w:val="001B1518"/>
    <w:rsid w:val="001C326C"/>
    <w:rsid w:val="001C3D79"/>
    <w:rsid w:val="001E5CCF"/>
    <w:rsid w:val="001F3069"/>
    <w:rsid w:val="00211E01"/>
    <w:rsid w:val="0021783E"/>
    <w:rsid w:val="0022552A"/>
    <w:rsid w:val="00244845"/>
    <w:rsid w:val="00247366"/>
    <w:rsid w:val="002508C9"/>
    <w:rsid w:val="00262E51"/>
    <w:rsid w:val="00282F82"/>
    <w:rsid w:val="00286044"/>
    <w:rsid w:val="002879DC"/>
    <w:rsid w:val="002A059F"/>
    <w:rsid w:val="002D25B3"/>
    <w:rsid w:val="003042C8"/>
    <w:rsid w:val="00336FEF"/>
    <w:rsid w:val="003379CE"/>
    <w:rsid w:val="00345E55"/>
    <w:rsid w:val="00360079"/>
    <w:rsid w:val="00360816"/>
    <w:rsid w:val="00391574"/>
    <w:rsid w:val="0039643A"/>
    <w:rsid w:val="003A1803"/>
    <w:rsid w:val="003D4598"/>
    <w:rsid w:val="003E4EC6"/>
    <w:rsid w:val="00437AED"/>
    <w:rsid w:val="00443E06"/>
    <w:rsid w:val="004658A7"/>
    <w:rsid w:val="004860A8"/>
    <w:rsid w:val="00491CEA"/>
    <w:rsid w:val="004927F3"/>
    <w:rsid w:val="004E0CF9"/>
    <w:rsid w:val="004E3491"/>
    <w:rsid w:val="004F78BC"/>
    <w:rsid w:val="00507ABD"/>
    <w:rsid w:val="00516C14"/>
    <w:rsid w:val="00517E4B"/>
    <w:rsid w:val="005272FB"/>
    <w:rsid w:val="00540151"/>
    <w:rsid w:val="005755E3"/>
    <w:rsid w:val="005D1297"/>
    <w:rsid w:val="005F24BF"/>
    <w:rsid w:val="00605391"/>
    <w:rsid w:val="00634A51"/>
    <w:rsid w:val="006479CA"/>
    <w:rsid w:val="00681260"/>
    <w:rsid w:val="006A1141"/>
    <w:rsid w:val="006B5FC1"/>
    <w:rsid w:val="006C1904"/>
    <w:rsid w:val="006C4D5A"/>
    <w:rsid w:val="006E3012"/>
    <w:rsid w:val="006F1A22"/>
    <w:rsid w:val="006F256D"/>
    <w:rsid w:val="00713CE9"/>
    <w:rsid w:val="0071611F"/>
    <w:rsid w:val="007229C1"/>
    <w:rsid w:val="007238A5"/>
    <w:rsid w:val="00725A0F"/>
    <w:rsid w:val="00772542"/>
    <w:rsid w:val="00784F59"/>
    <w:rsid w:val="00785639"/>
    <w:rsid w:val="007870AE"/>
    <w:rsid w:val="007950CA"/>
    <w:rsid w:val="007A3098"/>
    <w:rsid w:val="007A5C13"/>
    <w:rsid w:val="007A67CA"/>
    <w:rsid w:val="007B4340"/>
    <w:rsid w:val="007C15B9"/>
    <w:rsid w:val="007C294F"/>
    <w:rsid w:val="007D12DB"/>
    <w:rsid w:val="00800FA3"/>
    <w:rsid w:val="008030B0"/>
    <w:rsid w:val="00804CC8"/>
    <w:rsid w:val="0081547B"/>
    <w:rsid w:val="00821EB6"/>
    <w:rsid w:val="00832A31"/>
    <w:rsid w:val="00832E17"/>
    <w:rsid w:val="0083544A"/>
    <w:rsid w:val="0085211E"/>
    <w:rsid w:val="00853154"/>
    <w:rsid w:val="0086410F"/>
    <w:rsid w:val="0087083C"/>
    <w:rsid w:val="00892943"/>
    <w:rsid w:val="008D702B"/>
    <w:rsid w:val="009145FD"/>
    <w:rsid w:val="00924623"/>
    <w:rsid w:val="00951E48"/>
    <w:rsid w:val="00953CA4"/>
    <w:rsid w:val="00971476"/>
    <w:rsid w:val="00974E7E"/>
    <w:rsid w:val="00983198"/>
    <w:rsid w:val="009A2736"/>
    <w:rsid w:val="009B5835"/>
    <w:rsid w:val="009E2FEC"/>
    <w:rsid w:val="00A21C8D"/>
    <w:rsid w:val="00A2523E"/>
    <w:rsid w:val="00A36320"/>
    <w:rsid w:val="00A53683"/>
    <w:rsid w:val="00A61044"/>
    <w:rsid w:val="00A61A89"/>
    <w:rsid w:val="00A808B7"/>
    <w:rsid w:val="00AB56AF"/>
    <w:rsid w:val="00B00C35"/>
    <w:rsid w:val="00B1125D"/>
    <w:rsid w:val="00B36A78"/>
    <w:rsid w:val="00B37304"/>
    <w:rsid w:val="00B37951"/>
    <w:rsid w:val="00B60E71"/>
    <w:rsid w:val="00BC60DB"/>
    <w:rsid w:val="00BD124A"/>
    <w:rsid w:val="00BD575A"/>
    <w:rsid w:val="00BE2C42"/>
    <w:rsid w:val="00BF3149"/>
    <w:rsid w:val="00C51270"/>
    <w:rsid w:val="00C728C2"/>
    <w:rsid w:val="00CB3044"/>
    <w:rsid w:val="00CB4E74"/>
    <w:rsid w:val="00CD6807"/>
    <w:rsid w:val="00CE147D"/>
    <w:rsid w:val="00D07BA0"/>
    <w:rsid w:val="00D26E99"/>
    <w:rsid w:val="00D32892"/>
    <w:rsid w:val="00D35362"/>
    <w:rsid w:val="00D722FB"/>
    <w:rsid w:val="00DD48AE"/>
    <w:rsid w:val="00DF14D2"/>
    <w:rsid w:val="00E00656"/>
    <w:rsid w:val="00E171A6"/>
    <w:rsid w:val="00E3196C"/>
    <w:rsid w:val="00E35AA0"/>
    <w:rsid w:val="00E520EE"/>
    <w:rsid w:val="00EB0517"/>
    <w:rsid w:val="00EC4873"/>
    <w:rsid w:val="00EF018D"/>
    <w:rsid w:val="00EF445C"/>
    <w:rsid w:val="00F07471"/>
    <w:rsid w:val="00F32021"/>
    <w:rsid w:val="00F5660D"/>
    <w:rsid w:val="00F82002"/>
    <w:rsid w:val="00FA4623"/>
    <w:rsid w:val="00FA5AD9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8AB337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4F5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688DD-942F-46D2-89F1-6122384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F LOPEZ JUAN</cp:lastModifiedBy>
  <cp:revision>68</cp:revision>
  <dcterms:created xsi:type="dcterms:W3CDTF">2016-04-04T01:59:00Z</dcterms:created>
  <dcterms:modified xsi:type="dcterms:W3CDTF">2016-04-23T23:58:00Z</dcterms:modified>
</cp:coreProperties>
</file>