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gfa Rotis Sans Serif" w:hAnsi="Agfa Rotis Sans Serif"/>
          <w:color w:val="DD990D"/>
          <w:sz w:val="40"/>
        </w:rPr>
        <w:t>PLANTILLA BASE — CONSEJO DE DIRECCIÓN POLARIER</w:t>
      </w:r>
    </w:p>
    <w:p>
      <w:pPr/>
      <w:r>
        <w:rPr>
          <w:rFonts w:ascii="Agfa Rotis Sans Serif" w:hAnsi="Agfa Rotis Sans Serif"/>
          <w:color w:val="595959"/>
          <w:sz w:val="20"/>
        </w:rPr>
        <w:t>Este documento es la plantilla base reutilizable del sistema. Para generar un informe mensual, ejecutar:</w:t>
        <w:br/>
        <w:t xml:space="preserve">    python src/main.py generate --month YYYY-MM</w:t>
        <w:br/>
        <w:t xml:space="preserve">    python src/main.py build-docx --month YYYY-MM</w:t>
      </w:r>
    </w:p>
    <w:p/>
    <w:p>
      <w:pPr>
        <w:pStyle w:val="Heading2"/>
      </w:pPr>
      <w:r>
        <w:rPr>
          <w:rFonts w:ascii="Agfa Rotis Sans Serif" w:hAnsi="Agfa Rotis Sans Serif"/>
          <w:color w:val="DD990D"/>
          <w:sz w:val="32"/>
        </w:rPr>
        <w:t>PALETA DE COLORES CORPORATIVOS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val="clear" w:color="auto" w:fill="F4BC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b/>
                <w:sz w:val="18"/>
              </w:rPr>
              <w:t>Elemento</w:t>
            </w:r>
          </w:p>
        </w:tc>
        <w:tc>
          <w:tcPr>
            <w:tcW w:type="dxa" w:w="3381"/>
            <w:shd w:val="clear" w:color="auto" w:fill="F4BC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b/>
                <w:sz w:val="18"/>
              </w:rPr>
              <w:t>Color hex</w:t>
            </w:r>
          </w:p>
        </w:tc>
        <w:tc>
          <w:tcPr>
            <w:tcW w:type="dxa" w:w="3381"/>
            <w:shd w:val="clear" w:color="auto" w:fill="F4BC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b/>
                <w:sz w:val="18"/>
              </w:rPr>
              <w:t>Uso</w:t>
            </w:r>
          </w:p>
        </w:tc>
      </w:tr>
      <w:tr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Encabezados H1–H3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D990D"/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#DD990D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Títulos de sección</w:t>
            </w:r>
          </w:p>
        </w:tc>
      </w:tr>
      <w:tr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Encabezado tabla (fila 1)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4BC46"/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#F4BC46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Primera fila de toda tabla</w:t>
            </w:r>
          </w:p>
        </w:tc>
      </w:tr>
      <w:tr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Subencabezado tabla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C9D0EF"/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#C9D0EF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Fila de subencabezado</w:t>
            </w:r>
          </w:p>
        </w:tc>
      </w:tr>
      <w:tr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Total / Subtotal tabla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A6A6A6"/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#A6A6A6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Fila de totales</w:t>
            </w:r>
          </w:p>
        </w:tc>
      </w:tr>
      <w:tr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Valor positivo (texto)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006100"/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#006100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Cumplimiento del plan</w:t>
            </w:r>
          </w:p>
        </w:tc>
      </w:tr>
      <w:tr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Valor negativo (texto)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9C0006"/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#9C0006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Incumplimiento del plan</w:t>
            </w:r>
          </w:p>
        </w:tc>
      </w:tr>
      <w:tr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Alerta crítica (texto)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FF0000"/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#FF0000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Dato crítico urgente</w:t>
            </w:r>
          </w:p>
        </w:tc>
      </w:tr>
      <w:tr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Cuerpo narrativo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000000"/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#000000</w:t>
            </w:r>
          </w:p>
        </w:tc>
        <w:tc>
          <w:tcPr>
            <w:tcW w:type="dxa" w:w="3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gfa Rotis Sans Serif" w:hAnsi="Agfa Rotis Sans Serif"/>
                <w:sz w:val="18"/>
              </w:rPr>
              <w:t>Párrafos de análisis</w:t>
            </w:r>
          </w:p>
        </w:tc>
      </w:tr>
    </w:tbl>
    <w:p/>
    <w:p>
      <w:pPr>
        <w:pStyle w:val="Heading2"/>
      </w:pPr>
      <w:r>
        <w:rPr>
          <w:rFonts w:ascii="Agfa Rotis Sans Serif" w:hAnsi="Agfa Rotis Sans Serif"/>
          <w:color w:val="DD990D"/>
          <w:sz w:val="32"/>
        </w:rPr>
        <w:t>ESTRUCTURA DE TABLA DE DATOS (modelo)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c>
          <w:tcPr>
            <w:tcW w:type="dxa" w:w="2536"/>
            <w:shd w:val="clear" w:color="auto" w:fill="F4BC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Polo</w:t>
            </w:r>
          </w:p>
        </w:tc>
        <w:tc>
          <w:tcPr>
            <w:tcW w:type="dxa" w:w="2536"/>
            <w:shd w:val="clear" w:color="auto" w:fill="F4BC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Plan</w:t>
            </w:r>
          </w:p>
        </w:tc>
        <w:tc>
          <w:tcPr>
            <w:tcW w:type="dxa" w:w="2536"/>
            <w:shd w:val="clear" w:color="auto" w:fill="F4BC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Real</w:t>
            </w:r>
          </w:p>
        </w:tc>
        <w:tc>
          <w:tcPr>
            <w:tcW w:type="dxa" w:w="2536"/>
            <w:shd w:val="clear" w:color="auto" w:fill="F4BC4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Desv. %</w:t>
            </w:r>
          </w:p>
        </w:tc>
      </w:tr>
      <w:tr>
        <w:tc>
          <w:tcPr>
            <w:tcW w:type="dxa" w:w="2536"/>
            <w:shd w:val="clear" w:color="auto" w:fill="C9D0E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(subencabezado)</w:t>
            </w:r>
          </w:p>
        </w:tc>
        <w:tc>
          <w:tcPr>
            <w:tcW w:type="dxa" w:w="2536"/>
            <w:shd w:val="clear" w:color="auto" w:fill="C9D0E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(CUP)</w:t>
            </w:r>
          </w:p>
        </w:tc>
        <w:tc>
          <w:tcPr>
            <w:tcW w:type="dxa" w:w="2536"/>
            <w:shd w:val="clear" w:color="auto" w:fill="C9D0E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(CUP)</w:t>
            </w:r>
          </w:p>
        </w:tc>
        <w:tc>
          <w:tcPr>
            <w:tcW w:type="dxa" w:w="2536"/>
            <w:shd w:val="clear" w:color="auto" w:fill="C9D0E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(%)</w:t>
            </w:r>
          </w:p>
        </w:tc>
      </w:tr>
      <w:tr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La Habana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1.000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1.050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+5,0%</w:t>
            </w:r>
          </w:p>
        </w:tc>
      </w:tr>
      <w:tr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Varadero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2.000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1.800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9C0006"/>
                <w:sz w:val="18"/>
              </w:rPr>
              <w:t>-10,0%</w:t>
            </w:r>
          </w:p>
        </w:tc>
      </w:tr>
      <w:tr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Caibarién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0,0%</w:t>
            </w:r>
          </w:p>
        </w:tc>
      </w:tr>
      <w:tr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Cayo Coco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800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850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+6,3%</w:t>
            </w:r>
          </w:p>
        </w:tc>
      </w:tr>
      <w:tr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Cayo Cruz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600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580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9C0006"/>
                <w:sz w:val="18"/>
              </w:rPr>
              <w:t>-3,3%</w:t>
            </w:r>
          </w:p>
        </w:tc>
      </w:tr>
      <w:tr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Holguín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700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710</w:t>
            </w:r>
          </w:p>
        </w:tc>
        <w:tc>
          <w:tcPr>
            <w:tcW w:type="dxa" w:w="2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+1,4%</w:t>
            </w:r>
          </w:p>
        </w:tc>
      </w:tr>
      <w:tr>
        <w:tc>
          <w:tcPr>
            <w:tcW w:type="dxa" w:w="2536"/>
            <w:shd w:val="clear" w:color="auto" w:fill="A6A6A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Consolidado</w:t>
            </w:r>
          </w:p>
        </w:tc>
        <w:tc>
          <w:tcPr>
            <w:tcW w:type="dxa" w:w="2536"/>
            <w:shd w:val="clear" w:color="auto" w:fill="A6A6A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5.600</w:t>
            </w:r>
          </w:p>
        </w:tc>
        <w:tc>
          <w:tcPr>
            <w:tcW w:type="dxa" w:w="2536"/>
            <w:shd w:val="clear" w:color="auto" w:fill="A6A6A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5.490</w:t>
            </w:r>
          </w:p>
        </w:tc>
        <w:tc>
          <w:tcPr>
            <w:tcW w:type="dxa" w:w="2536"/>
            <w:shd w:val="clear" w:color="auto" w:fill="A6A6A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-2,0%</w:t>
            </w:r>
          </w:p>
        </w:tc>
      </w:tr>
    </w:tbl>
    <w:p/>
    <w:p>
      <w:pPr>
        <w:pStyle w:val="Heading3"/>
      </w:pPr>
      <w:r>
        <w:rPr>
          <w:rFonts w:ascii="Agfa Rotis Sans Serif" w:hAnsi="Agfa Rotis Sans Serif"/>
          <w:color w:val="DD990D"/>
          <w:sz w:val="28"/>
        </w:rPr>
        <w:t>Ejemplo de subsección (H3)</w:t>
      </w:r>
    </w:p>
    <w:p>
      <w:pPr/>
      <w:r>
        <w:rPr>
          <w:rFonts w:ascii="Agfa Rotis Sans Serif" w:hAnsi="Agfa Rotis Sans Serif"/>
          <w:sz w:val="24"/>
        </w:rPr>
        <w:t>Este es un ejemplo del estilo P1_Texto usado en los párrafos narrativos del informe. El análisis de cada sección sigue la estructura: contexto → datos → análisis → conclusión. Las cifras mencionadas en el texto deben coincidir exactamente con los valores de las tablas.</w:t>
      </w:r>
    </w:p>
    <w:p/>
    <w:p>
      <w:pPr>
        <w:pStyle w:val="Heading2"/>
      </w:pPr>
      <w:r>
        <w:rPr>
          <w:rFonts w:ascii="Agfa Rotis Sans Serif" w:hAnsi="Agfa Rotis Sans Serif"/>
          <w:color w:val="DD990D"/>
          <w:sz w:val="32"/>
        </w:rPr>
        <w:t>AJUSTES MANUALES REQUERIDOS</w:t>
      </w:r>
    </w:p>
    <w:p>
      <w:pPr/>
      <w:r>
        <w:rPr>
          <w:rFonts w:ascii="Agfa Rotis Sans Serif" w:hAnsi="Agfa Rotis Sans Serif"/>
          <w:b/>
          <w:sz w:val="22"/>
        </w:rPr>
        <w:t xml:space="preserve">• Logo Polarier PNG: </w:t>
      </w:r>
      <w:r>
        <w:rPr>
          <w:rFonts w:ascii="Agfa Rotis Sans Serif" w:hAnsi="Agfa Rotis Sans Serif"/>
          <w:sz w:val="22"/>
        </w:rPr>
        <w:t>Insertar la imagen PNG del logo (~29.6 KB) en el encabezado, posición izquierda. El marcador de texto gris en el encabezado indica el espacio reservado.</w:t>
      </w:r>
    </w:p>
    <w:p>
      <w:pPr/>
      <w:r>
        <w:rPr>
          <w:rFonts w:ascii="Agfa Rotis Sans Serif" w:hAnsi="Agfa Rotis Sans Serif"/>
          <w:b/>
          <w:sz w:val="22"/>
        </w:rPr>
        <w:t xml:space="preserve">• Fuente 'Agfa Rotis Sans Serif': </w:t>
      </w:r>
      <w:r>
        <w:rPr>
          <w:rFonts w:ascii="Agfa Rotis Sans Serif" w:hAnsi="Agfa Rotis Sans Serif"/>
          <w:sz w:val="22"/>
        </w:rPr>
        <w:t xml:space="preserve">INSTALADA en este sistema. </w:t>
      </w:r>
    </w:p>
    <w:p>
      <w:pPr/>
      <w:r>
        <w:rPr>
          <w:rFonts w:ascii="Agfa Rotis Sans Serif" w:hAnsi="Agfa Rotis Sans Serif"/>
          <w:b/>
          <w:sz w:val="22"/>
        </w:rPr>
        <w:t xml:space="preserve">• Estilos H4–H9: </w:t>
      </w:r>
      <w:r>
        <w:rPr>
          <w:rFonts w:ascii="Agfa Rotis Sans Serif" w:hAnsi="Agfa Rotis Sans Serif"/>
          <w:sz w:val="22"/>
        </w:rPr>
        <w:t>Los tamaños H4–H9 usan valores por defecto (12pt, 11pt, 10pt). Verificar contra documentos históricos si se usan estos niveles.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850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gfa Rotis Sans Serif" w:hAnsi="Agfa Rotis Sans Serif"/>
        <w:sz w:val="18"/>
      </w:rPr>
      <w:t xml:space="preserve">Página |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DD990D"/>
      </w:pBdr>
    </w:pPr>
    <w:r>
      <w:rPr>
        <w:rFonts w:ascii="Agfa Rotis Sans Serif" w:hAnsi="Agfa Rotis Sans Serif"/>
        <w:color w:val="BBBBBB"/>
        <w:sz w:val="14"/>
      </w:rPr>
      <w:t>[requiere ajuste manual: INSERTAR LOGO POLARIER PNG]</w:t>
    </w:r>
    <w:r>
      <w:br/>
    </w:r>
    <w:r>
      <w:rPr>
        <w:rFonts w:ascii="Agfa Rotis Sans Serif" w:hAnsi="Agfa Rotis Sans Serif"/>
        <w:b/>
        <w:sz w:val="18"/>
      </w:rPr>
      <w:t>Informe consolidado {MES} {AÑO}</w:t>
    </w:r>
    <w:r>
      <w:br/>
    </w:r>
    <w:r>
      <w:rPr>
        <w:rFonts w:ascii="Agfa Rotis Sans Serif" w:hAnsi="Agfa Rotis Sans Serif"/>
        <w:sz w:val="18"/>
      </w:rPr>
      <w:t>La Habana | Varadero | Caibarién | Cayo Coco | Cayo Cruz | Holguín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00" w:after="100"/>
    </w:pPr>
    <w:rPr>
      <w:rFonts w:ascii="Agfa Rotis Sans Serif" w:hAnsi="Agfa Rotis Sans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 w:ascii="Agfa Rotis Sans Serif" w:hAnsi="Agfa Rotis Sans Serif"/>
      <w:b/>
      <w:bCs/>
      <w:color w:val="DD990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 w:ascii="Agfa Rotis Sans Serif" w:hAnsi="Agfa Rotis Sans Serif"/>
      <w:b/>
      <w:bCs/>
      <w:color w:val="DD990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Agfa Rotis Sans Serif" w:hAnsi="Agfa Rotis Sans Serif"/>
      <w:b/>
      <w:bCs/>
      <w:color w:val="DD990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 w:ascii="Agfa Rotis Sans Serif" w:hAnsi="Agfa Rotis Sans Serif"/>
      <w:b/>
      <w:bCs/>
      <w:i/>
      <w:iCs/>
      <w:color w:val="DD990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jc w:val="left"/>
      <w:outlineLvl w:val="4"/>
    </w:pPr>
    <w:rPr>
      <w:rFonts w:asciiTheme="majorHAnsi" w:eastAsiaTheme="majorEastAsia" w:hAnsiTheme="majorHAnsi" w:cstheme="majorBidi" w:ascii="Agfa Rotis Sans Serif" w:hAnsi="Agfa Rotis Sans Serif"/>
      <w:b/>
      <w:color w:val="DD990D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 w:after="0"/>
      <w:jc w:val="left"/>
      <w:outlineLvl w:val="5"/>
    </w:pPr>
    <w:rPr>
      <w:rFonts w:asciiTheme="majorHAnsi" w:eastAsiaTheme="majorEastAsia" w:hAnsiTheme="majorHAnsi" w:cstheme="majorBidi" w:ascii="Agfa Rotis Sans Serif" w:hAnsi="Agfa Rotis Sans Serif"/>
      <w:b w:val="0"/>
      <w:i/>
      <w:iCs/>
      <w:color w:val="595959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 w:after="0"/>
      <w:jc w:val="left"/>
      <w:outlineLvl w:val="6"/>
    </w:pPr>
    <w:rPr>
      <w:rFonts w:asciiTheme="majorHAnsi" w:eastAsiaTheme="majorEastAsia" w:hAnsiTheme="majorHAnsi" w:cstheme="majorBidi" w:ascii="Agfa Rotis Sans Serif" w:hAnsi="Agfa Rotis Sans Serif"/>
      <w:b w:val="0"/>
      <w:i/>
      <w:iCs/>
      <w:color w:val="595959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7"/>
    </w:pPr>
    <w:rPr>
      <w:rFonts w:asciiTheme="majorHAnsi" w:eastAsiaTheme="majorEastAsia" w:hAnsiTheme="majorHAnsi" w:cstheme="majorBidi" w:ascii="Agfa Rotis Sans Serif" w:hAnsi="Agfa Rotis Sans Serif"/>
      <w:b w:val="0"/>
      <w:color w:val="272727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8"/>
    </w:pPr>
    <w:rPr>
      <w:rFonts w:asciiTheme="majorHAnsi" w:eastAsiaTheme="majorEastAsia" w:hAnsiTheme="majorHAnsi" w:cstheme="majorBidi" w:ascii="Agfa Rotis Sans Serif" w:hAnsi="Agfa Rotis Sans Serif"/>
      <w:b w:val="0"/>
      <w:i/>
      <w:iCs/>
      <w:color w:val="272727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_Texto">
    <w:name w:val="P1_Texto"/>
    <w:pPr>
      <w:spacing w:before="240" w:after="240"/>
      <w:jc w:val="both"/>
    </w:pPr>
    <w:rPr>
      <w:rFonts w:ascii="Agfa Rotis Sans Serif" w:hAnsi="Agfa Rotis Sans Serif"/>
      <w:b w:val="0"/>
      <w:color w:val="000000"/>
      <w:sz w:val="24"/>
    </w:rPr>
  </w:style>
  <w:style w:type="paragraph" w:customStyle="1" w:styleId="Datos9pt">
    <w:name w:val="Datos 9pt"/>
    <w:pPr>
      <w:jc w:val="center"/>
    </w:pPr>
    <w:rPr>
      <w:rFonts w:ascii="Agfa Rotis Sans Serif" w:hAnsi="Agfa Rotis Sans Serif"/>
      <w:b w:val="0"/>
      <w:color w:val="000000"/>
      <w:sz w:val="18"/>
    </w:rPr>
  </w:style>
  <w:style w:type="paragraph" w:customStyle="1" w:styleId="Datos8pt">
    <w:name w:val="Datos 8pt"/>
    <w:pPr>
      <w:jc w:val="center"/>
    </w:pPr>
    <w:rPr>
      <w:rFonts w:ascii="Agfa Rotis Sans Serif" w:hAnsi="Agfa Rotis Sans Serif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