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color w:val="003366"/>
        </w:rPr>
        <w:t>Resumen Ejecutivo — eStrata</w:t>
      </w:r>
    </w:p>
    <w:p>
      <w:pPr>
        <w:pStyle w:val="Heading2"/>
        <w:spacing w:before="280" w:after="80"/>
      </w:pPr>
      <w:r>
        <w:rPr>
          <w:rFonts w:ascii="Calibri" w:hAnsi="Calibri"/>
          <w:color w:val="005580"/>
        </w:rPr>
        <w:t>Plataforma de Inteligencia de Decisión para la Movilidad Eléctrica</w:t>
      </w:r>
    </w:p>
    <w:p>
      <w:pPr>
        <w:pStyle w:val="Heading3"/>
        <w:spacing w:before="200" w:after="80"/>
      </w:pPr>
      <w:r>
        <w:rPr>
          <w:rFonts w:ascii="Calibri" w:hAnsi="Calibri"/>
          <w:color w:val="336699"/>
        </w:rPr>
        <w:t>Candidatura MUBIL Mobility Awards 2026</w:t>
      </w:r>
    </w:p>
    <w:p>
      <w:pPr>
        <w:spacing w:before="120"/>
      </w:pPr>
    </w:p>
    <w:p>
      <w:pPr>
        <w:pStyle w:val="Heading3"/>
        <w:spacing w:before="200" w:after="80"/>
      </w:pPr>
      <w:r>
        <w:rPr>
          <w:rFonts w:ascii="Calibri" w:hAnsi="Calibri"/>
          <w:color w:val="336699"/>
        </w:rPr>
        <w:t>A. El Gran Reto de la Transición Energética</w:t>
      </w:r>
    </w:p>
    <w:p>
      <w:pPr>
        <w:spacing w:after="120" w:line="276" w:lineRule="auto"/>
      </w:pPr>
      <w:r>
        <w:t>La transición hacia la movilidad eléctrica no está frenada únicamente por la tecnología o la infraestructura, sino por la incertidumbre en la decisión de compra. Hoy en día, los usuarios (particulares, autónomos y gestores de flotas) se enfrentan a una dispersión absoluta de información. Comparar precios de vehículos, estimar el consumo real según sus hábitos de conducción, calcular tarifas de luz variables, entender la fiscalidad local, tramitar subvenciones complejas y evaluar la depreciación es una tarea inasumible.</w:t>
      </w:r>
    </w:p>
    <w:p>
      <w:pPr>
        <w:spacing w:after="120" w:line="276" w:lineRule="auto"/>
      </w:pPr>
      <w:r>
        <w:t>Como resultado, muchas decisiones de electrificación se retrasan por falta de confianza, o se ejecutan sin un retorno económico garantizado. eStrata nace para eliminar esta barrera. Desarrollada y operativa en https://estrata.eus/, es una plataforma inteligente que unifica este ecosistema de datos dispersos para generar una recomendación financiera y operativa objetiva, transparente y personalizada.</w:t>
      </w:r>
    </w:p>
    <w:p>
      <w:pPr>
        <w:spacing w:before="120"/>
      </w:pPr>
    </w:p>
    <w:p>
      <w:pPr>
        <w:pStyle w:val="Heading3"/>
        <w:spacing w:before="200" w:after="80"/>
      </w:pPr>
      <w:r>
        <w:rPr>
          <w:rFonts w:ascii="Calibri" w:hAnsi="Calibri"/>
          <w:color w:val="336699"/>
        </w:rPr>
        <w:t>B. Una Plataforma Integral en Seis Módulos Operativos</w:t>
      </w:r>
    </w:p>
    <w:p>
      <w:pPr>
        <w:spacing w:after="120" w:line="276" w:lineRule="auto"/>
      </w:pPr>
      <w:r>
        <w:t>eStrata es una plataforma en producción con bases de datos integradas que funciona a través de seis áreas estratégicas:</w:t>
      </w:r>
    </w:p>
    <w:p>
      <w:pPr>
        <w:pStyle w:val="ListBullet"/>
        <w:spacing w:after="60"/>
      </w:pPr>
      <w:r>
        <w:t>1. Advisor (Consultor de Viabilidad): Realiza un análisis del Coste Total de Propiedad (TCO) comparando vehículos térmicos y eléctricos. Integra un asistente conversacional con inteligencia artificial proactiva que guía al usuario en tiempo real en cada paso (sugiriendo consumos, estimando kilómetros y perfiles) y le explica los resultados financieros basándose en la normativa de ayudas oficiales.</w:t>
      </w:r>
    </w:p>
    <w:p>
      <w:pPr>
        <w:pStyle w:val="ListBullet"/>
        <w:spacing w:after="60"/>
      </w:pPr>
      <w:r>
        <w:t>2. Ask (Asistente de Ayudas y Normativa): Chatbot conversacional inteligente que responde en lenguaje natural y con citas oficiales a dudas sobre restricciones en Zonas de Bajas Emisiones (ZBE), requisitos de subvenciones y legislación vigente.</w:t>
      </w:r>
    </w:p>
    <w:p>
      <w:pPr>
        <w:pStyle w:val="ListBullet"/>
        <w:spacing w:after="60"/>
      </w:pPr>
      <w:r>
        <w:t>3. Route (Planificador de Viajes): Calcula trayectos reales de larga distancia con vehículo eléctrico, estimando el estado de la batería según la orografía de la ruta y proponiendo paradas óptimas de recarga.</w:t>
      </w:r>
    </w:p>
    <w:p>
      <w:pPr>
        <w:pStyle w:val="ListBullet"/>
        <w:spacing w:after="60"/>
      </w:pPr>
      <w:r>
        <w:t>4. Mapa (Visualizador de Infraestructura): Interfaz cartográfica interactiva que localiza en tiempo real estaciones de combustible y la red de cargadores de acceso público, permitiendo filtrar por operador, potencia y compatibilidad.</w:t>
      </w:r>
    </w:p>
    <w:p>
      <w:pPr>
        <w:pStyle w:val="ListBullet"/>
        <w:spacing w:after="60"/>
      </w:pPr>
      <w:r>
        <w:t>5. Plan (Análisis de Demanda): Herramienta de planificación territorial que proyecta a 3 y 5 años dónde será más necesario instalar cargadores públicos, cruzando flujos de desplazamientos históricos y registros de matriculación.</w:t>
      </w:r>
    </w:p>
    <w:p>
      <w:pPr>
        <w:pStyle w:val="ListBullet"/>
        <w:spacing w:after="60"/>
      </w:pPr>
      <w:r>
        <w:t>6. News (Observatorio de Actualidad): Agregador inteligente de prensa especializada y boletines oficiales que traduce, resume y notifica al usuario los cambios legislativos o de tarifas que afecten directamente a su plan de transición.</w:t>
      </w:r>
    </w:p>
    <w:p>
      <w:pPr>
        <w:spacing w:before="120"/>
      </w:pPr>
    </w:p>
    <w:p>
      <w:pPr>
        <w:pStyle w:val="Heading3"/>
        <w:spacing w:before="200" w:after="80"/>
      </w:pPr>
      <w:r>
        <w:rPr>
          <w:rFonts w:ascii="Calibri" w:hAnsi="Calibri"/>
          <w:color w:val="336699"/>
        </w:rPr>
        <w:t>C. La Fuerza de los Datos Reales (Fuentes del Ecosistema)</w:t>
      </w:r>
    </w:p>
    <w:p>
      <w:pPr>
        <w:spacing w:after="120" w:line="276" w:lineRule="auto"/>
      </w:pPr>
      <w:r>
        <w:t>El valor de la recomendación de eStrata radica en que sus datos provienen de fuentes públicas y sectoriales de referencia, integradas de forma continua en su base de datos: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Tipo de Dato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Fuente Oficial Integrada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Uso en la Plataforma</w:t>
            </w:r>
          </w:p>
        </w:tc>
      </w:tr>
      <w:tr>
        <w:tc>
          <w:tcPr>
            <w:tcW w:type="dxa" w:w="3120"/>
          </w:tcPr>
          <w:p>
            <w:r>
              <w:t>Tarifas Eléctricas</w:t>
            </w:r>
          </w:p>
        </w:tc>
        <w:tc>
          <w:tcPr>
            <w:tcW w:type="dxa" w:w="3120"/>
          </w:tcPr>
          <w:p>
            <w:r>
              <w:t>ESIOS (Red Eléctrica de España)</w:t>
            </w:r>
          </w:p>
        </w:tc>
        <w:tc>
          <w:tcPr>
            <w:tcW w:type="dxa" w:w="3120"/>
          </w:tcPr>
          <w:p>
            <w:r>
              <w:t>Coste real por carga doméstica (PVPC regulado y tramos horarias)</w:t>
            </w:r>
          </w:p>
        </w:tc>
      </w:tr>
      <w:tr>
        <w:tc>
          <w:tcPr>
            <w:tcW w:type="dxa" w:w="3120"/>
          </w:tcPr>
          <w:p>
            <w:r>
              <w:t>Combustibles</w:t>
            </w:r>
          </w:p>
        </w:tc>
        <w:tc>
          <w:tcPr>
            <w:tcW w:type="dxa" w:w="3120"/>
          </w:tcPr>
          <w:p>
            <w:r>
              <w:t>MITECO / MINCOTUR</w:t>
            </w:r>
          </w:p>
        </w:tc>
        <w:tc>
          <w:tcPr>
            <w:tcW w:type="dxa" w:w="3120"/>
          </w:tcPr>
          <w:p>
            <w:r>
              <w:t>Coste real diario en estaciones de servicio (diésel/gasolina)</w:t>
            </w:r>
          </w:p>
        </w:tc>
      </w:tr>
      <w:tr>
        <w:tc>
          <w:tcPr>
            <w:tcW w:type="dxa" w:w="3120"/>
          </w:tcPr>
          <w:p>
            <w:r>
              <w:t>Vehículos</w:t>
            </w:r>
          </w:p>
        </w:tc>
        <w:tc>
          <w:tcPr>
            <w:tcW w:type="dxa" w:w="3120"/>
          </w:tcPr>
          <w:p>
            <w:r>
              <w:t>Catálogo del IDAE</w:t>
            </w:r>
          </w:p>
        </w:tc>
        <w:tc>
          <w:tcPr>
            <w:tcW w:type="dxa" w:w="3120"/>
          </w:tcPr>
          <w:p>
            <w:r>
              <w:t>Ficha técnica, consumo WLTP y variantes homologadas (3.500+ modelos)</w:t>
            </w:r>
          </w:p>
        </w:tc>
      </w:tr>
      <w:tr>
        <w:tc>
          <w:tcPr>
            <w:tcW w:type="dxa" w:w="3120"/>
          </w:tcPr>
          <w:p>
            <w:r>
              <w:t>Red de Carga</w:t>
            </w:r>
          </w:p>
        </w:tc>
        <w:tc>
          <w:tcPr>
            <w:tcW w:type="dxa" w:w="3120"/>
          </w:tcPr>
          <w:p>
            <w:r>
              <w:t>OpenData Euskadi, MITECO, DGT NAP</w:t>
            </w:r>
          </w:p>
        </w:tc>
        <w:tc>
          <w:tcPr>
            <w:tcW w:type="dxa" w:w="3120"/>
          </w:tcPr>
          <w:p>
            <w:r>
              <w:t>Ubicación consolidada y potencia de cargadores públicos en mapa</w:t>
            </w:r>
          </w:p>
        </w:tc>
      </w:tr>
      <w:tr>
        <w:tc>
          <w:tcPr>
            <w:tcW w:type="dxa" w:w="3120"/>
          </w:tcPr>
          <w:p>
            <w:r>
              <w:t>Movilidad</w:t>
            </w:r>
          </w:p>
        </w:tc>
        <w:tc>
          <w:tcPr>
            <w:tcW w:type="dxa" w:w="3120"/>
          </w:tcPr>
          <w:p>
            <w:r>
              <w:t>DGT y Matrices de viaje del MITMA</w:t>
            </w:r>
          </w:p>
        </w:tc>
        <w:tc>
          <w:tcPr>
            <w:tcW w:type="dxa" w:w="3120"/>
          </w:tcPr>
          <w:p>
            <w:r>
              <w:t>Datos de matriculaciones territoriales y flujos origen-destino</w:t>
            </w:r>
          </w:p>
        </w:tc>
      </w:tr>
    </w:tbl>
    <w:p>
      <w:pPr>
        <w:spacing w:before="120"/>
      </w:pPr>
    </w:p>
    <w:p>
      <w:pPr>
        <w:spacing w:before="120"/>
      </w:pPr>
    </w:p>
    <w:p>
      <w:pPr>
        <w:pStyle w:val="Heading3"/>
        <w:spacing w:before="200" w:after="80"/>
      </w:pPr>
      <w:r>
        <w:rPr>
          <w:rFonts w:ascii="Calibri" w:hAnsi="Calibri"/>
          <w:color w:val="336699"/>
        </w:rPr>
        <w:t>D. Ventaja Competitiva y Escalabilidad</w:t>
      </w:r>
    </w:p>
    <w:p>
      <w:pPr>
        <w:spacing w:after="120" w:line="276" w:lineRule="auto"/>
      </w:pPr>
      <w:r>
        <w:t>Frente a comparadores tradicionales financiados por marcas de coches o empresas energéticas, eStrata destaca por su neutralidad y trazabilidad. No vende vehículos ni tarifas: ayuda a decidir aportando auditorías transparentes. Su arquitectura flexible permite escalar la solución rápidamente bajo un modelo de negocio B2B2C enfocado en:</w:t>
      </w:r>
    </w:p>
    <w:p>
      <w:pPr>
        <w:spacing w:after="120" w:line="276" w:lineRule="auto"/>
      </w:pPr>
      <w:r>
        <w:t>1.  Concesionarios y Renting: Para acelerar las ventas de vehículos eléctricos demostrando el ahorro real al cliente final mediante informes inmediatos.</w:t>
      </w:r>
    </w:p>
    <w:p>
      <w:pPr>
        <w:spacing w:after="120" w:line="276" w:lineRule="auto"/>
      </w:pPr>
      <w:r>
        <w:t>2.  Gestión de Flotas: Para asesorar a empresas y pymes en sus planes de descarbonización e identificar qué vehículos de su flota actual son rentables de electrificar de inmediato.</w:t>
      </w:r>
    </w:p>
    <w:p>
      <w:pPr>
        <w:spacing w:after="120" w:line="276" w:lineRule="auto"/>
      </w:pPr>
      <w:r>
        <w:t>3.  Administraciones Públicas: Para planificar de manera eficiente las redes locales de recarga optimizando la inversión de dinero público.</w:t>
      </w:r>
    </w:p>
    <w:p>
      <w:pPr>
        <w:spacing w:before="120"/>
      </w:pPr>
    </w:p>
    <w:p>
      <w:pPr>
        <w:pStyle w:val="Heading3"/>
        <w:spacing w:before="200" w:after="80"/>
      </w:pPr>
      <w:r>
        <w:rPr>
          <w:rFonts w:ascii="Calibri" w:hAnsi="Calibri"/>
          <w:color w:val="336699"/>
        </w:rPr>
        <w:t>E. Encaje con MUBIL, Innovación Futura y Próximos Pasos</w:t>
      </w:r>
    </w:p>
    <w:p>
      <w:pPr>
        <w:pStyle w:val="ListBullet"/>
        <w:spacing w:after="60"/>
      </w:pPr>
      <w:r>
        <w:t>1. Enrutamiento de Última Milla (DUM): Algoritmo para flotas logísticas urbanas que optimiza rutas multi-parada integrando restricciones de Zonas de Bajas Emisiones (ZBE) y programando micro-recargas rápidas de 10-15 minutos durante la carga y descarga en los muelles de entrega.</w:t>
      </w:r>
    </w:p>
    <w:p>
      <w:pPr>
        <w:pStyle w:val="ListBullet"/>
        <w:spacing w:after="60"/>
      </w:pPr>
      <w:r>
        <w:t>2. Informes ESG de Huella de Carbono Corporativa (Sostenibilidad B2B): Generador automático de certificados de reducción de emisiones y ahorro de CO₂ de las flotas corporativas simuladas, facilitando a las empresas el cumplimiento de los reportes ESG de sostenibilidad obligatorios.</w:t>
      </w:r>
    </w:p>
    <w:p>
      <w:pPr>
        <w:spacing w:after="120" w:line="276" w:lineRule="auto"/>
      </w:pPr>
      <w:r>
        <w:t>Próximos Pasos (Pilotos 2026):</w:t>
      </w:r>
    </w:p>
    <w:p>
      <w:pPr>
        <w:pStyle w:val="ListBullet"/>
        <w:spacing w:after="60"/>
      </w:pPr>
      <w:r>
        <w:t>Julio-Septiembre 2026: Piloto MUBIL con 20-50 usuarios reales para contrastar el motor TCO del Advisor y comercializar los primeros informes financieros B2B.</w:t>
      </w:r>
    </w:p>
    <w:p>
      <w:pPr>
        <w:pStyle w:val="ListBullet"/>
        <w:spacing w:after="60"/>
      </w:pPr>
      <w:r>
        <w:t>Octubre-Diciembre 2026: Piloto experimental de Última Milla Cero Emisiones (ZBE) con un operador logístico local y ayuntamientos de la CAV.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