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3ECB" w14:textId="78D30BCB" w:rsidR="00307224" w:rsidRPr="00A17FAF" w:rsidRDefault="00307224" w:rsidP="00A17FA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Projet DataScientest - Rendu 2 : Rapport de Visualisation Avancée</w:t>
      </w:r>
    </w:p>
    <w:p w14:paraId="0A1BBBEE" w14:textId="537857EA" w:rsidR="00307224" w:rsidRPr="00A17FAF" w:rsidRDefault="00307224" w:rsidP="00A17FA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Objectif du rendu 2</w:t>
      </w:r>
    </w:p>
    <w:p w14:paraId="65054631" w14:textId="77777777" w:rsidR="00307224" w:rsidRPr="00A17FAF" w:rsidRDefault="00307224" w:rsidP="00A17FA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 livrable vise à présenter un tableau de bord interactif construit avec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Streamlit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partir du dataset énergétique national (eco2mix). Ce tableau de bord prolonge directement le travail réalisé dans le rendu 1, où un pré-traitement rigoureux et une exploration fine des données avaient été menés.</w:t>
      </w:r>
    </w:p>
    <w:p w14:paraId="1662B080" w14:textId="77777777" w:rsidR="00307224" w:rsidRPr="00A17FAF" w:rsidRDefault="00307224" w:rsidP="00A17FA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L'objectif ici est triple :</w:t>
      </w:r>
    </w:p>
    <w:p w14:paraId="6319EB26" w14:textId="77777777" w:rsidR="00307224" w:rsidRPr="00A17FAF" w:rsidRDefault="00307224" w:rsidP="00A17FA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Mettre en œuvre une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visualisation dynamique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claire, lisible et réactive</w:t>
      </w:r>
    </w:p>
    <w:p w14:paraId="745F0A09" w14:textId="77777777" w:rsidR="00307224" w:rsidRPr="00A17FAF" w:rsidRDefault="00307224" w:rsidP="00A17FA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Permettre à un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utilisateur non technique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comprendre les équilibres régionaux entre production et consommation</w:t>
      </w:r>
    </w:p>
    <w:p w14:paraId="0EF0E9B1" w14:textId="2B7D8B51" w:rsidR="00307224" w:rsidRPr="00A17FAF" w:rsidRDefault="00307224" w:rsidP="00A17FA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Rendre le tout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explorable et interactif</w:t>
      </w:r>
    </w:p>
    <w:p w14:paraId="4B41DDBA" w14:textId="3DED00BC" w:rsidR="00307224" w:rsidRPr="00A17FAF" w:rsidRDefault="00307224" w:rsidP="00A17FA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Aperçu du tableau de bord Streamlit</w:t>
      </w:r>
    </w:p>
    <w:p w14:paraId="38E40BC7" w14:textId="77777777" w:rsidR="00307224" w:rsidRPr="00A17FAF" w:rsidRDefault="00307224" w:rsidP="00A17FA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tableau de bord est divisé en trois onglets principaux :</w:t>
      </w:r>
    </w:p>
    <w:p w14:paraId="1FA497A7" w14:textId="77777777" w:rsidR="00307224" w:rsidRPr="00A17FAF" w:rsidRDefault="00307224" w:rsidP="00A17FAF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1. Exploration</w:t>
      </w:r>
    </w:p>
    <w:p w14:paraId="085AAAA7" w14:textId="77777777" w:rsidR="00307224" w:rsidRPr="00A17FAF" w:rsidRDefault="00307224" w:rsidP="00A17FA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tabulaire des données filtrées par région</w:t>
      </w:r>
    </w:p>
    <w:p w14:paraId="19517900" w14:textId="77777777" w:rsidR="00307224" w:rsidRPr="00A17FAF" w:rsidRDefault="00307224" w:rsidP="00A17FA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Possibilité de vérifier les valeurs manquantes</w:t>
      </w:r>
    </w:p>
    <w:p w14:paraId="659BAE8B" w14:textId="77777777" w:rsidR="00307224" w:rsidRPr="00A17FAF" w:rsidRDefault="00307224" w:rsidP="00A17FA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pour exporter les données filtrées</w:t>
      </w:r>
    </w:p>
    <w:p w14:paraId="2083F785" w14:textId="77777777" w:rsidR="00307224" w:rsidRPr="00A17FAF" w:rsidRDefault="00307224" w:rsidP="00A17FAF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2. Visualisations (3 graphiques principaux)</w:t>
      </w:r>
    </w:p>
    <w:p w14:paraId="01BB67D0" w14:textId="77777777" w:rsidR="00307224" w:rsidRPr="00A17FAF" w:rsidRDefault="00307224" w:rsidP="00A17FA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Barplot groupé mensuel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 Production Renouvelable vs Consommation</w:t>
      </w:r>
    </w:p>
    <w:p w14:paraId="0D8A3669" w14:textId="77777777" w:rsidR="00307224" w:rsidRPr="00A17FAF" w:rsidRDefault="00307224" w:rsidP="00A17FA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Boxplot mensuel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 Répartition des déséquilibres (prod - conso)</w:t>
      </w:r>
    </w:p>
    <w:p w14:paraId="0A561532" w14:textId="77777777" w:rsidR="00307224" w:rsidRPr="00A17FAF" w:rsidRDefault="00307224" w:rsidP="00A17FA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Classement par autonomie moyenne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 Barplot des régions triées</w:t>
      </w:r>
    </w:p>
    <w:p w14:paraId="2377C860" w14:textId="77777777" w:rsidR="00307224" w:rsidRPr="00A17FAF" w:rsidRDefault="00307224" w:rsidP="00A17FAF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3. Synthèse automatique</w:t>
      </w:r>
    </w:p>
    <w:p w14:paraId="454EE0F8" w14:textId="77777777" w:rsidR="00307224" w:rsidRPr="00A17FAF" w:rsidRDefault="00307224" w:rsidP="00A17FA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Récapitulatif : consommation, autonomie, delta</w:t>
      </w:r>
    </w:p>
    <w:p w14:paraId="7E19589D" w14:textId="77777777" w:rsidR="00307224" w:rsidRPr="00A17FAF" w:rsidRDefault="00307224" w:rsidP="00A17FA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Interprétation automatique avec icônes compréhensibles</w:t>
      </w:r>
    </w:p>
    <w:p w14:paraId="4554011C" w14:textId="67DB5C64" w:rsidR="00307224" w:rsidRPr="00A17FAF" w:rsidRDefault="00307224" w:rsidP="00A17FA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Choix techniques et justifications</w:t>
      </w:r>
    </w:p>
    <w:p w14:paraId="42BB7885" w14:textId="77777777" w:rsidR="00307224" w:rsidRPr="00A17FAF" w:rsidRDefault="00307224" w:rsidP="00A17FA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Streamlit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été choisi pour sa simplicité d'utilisation, sa vitesse de déploiement locale, et sa compatibilité avec plotly</w:t>
      </w:r>
    </w:p>
    <w:p w14:paraId="2D0B6EFE" w14:textId="77777777" w:rsidR="00307224" w:rsidRPr="00A17FAF" w:rsidRDefault="00307224" w:rsidP="00A17FA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Les graphiques sont à la fois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intuitifs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suffisamment puissants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révéler des tendances par région</w:t>
      </w:r>
    </w:p>
    <w:p w14:paraId="2AADD699" w14:textId="77777777" w:rsidR="00307224" w:rsidRPr="00A17FAF" w:rsidRDefault="00307224" w:rsidP="00A17FA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navigation en sidebar</w:t>
      </w: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rend le tout ergonomique, même pour un utilisateur novice</w:t>
      </w:r>
    </w:p>
    <w:p w14:paraId="48836487" w14:textId="5098CD9B" w:rsidR="00307224" w:rsidRPr="00316F87" w:rsidRDefault="00307224" w:rsidP="00316F8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L'interprétation automatique repose directement sur les indicateurs calculés dans le Rendu 1 : Autonomie, delta_prod_cons, Prod_Renouvelable</w:t>
      </w:r>
    </w:p>
    <w:p w14:paraId="73B47A6A" w14:textId="6B492082" w:rsidR="00307224" w:rsidRPr="00A17FAF" w:rsidRDefault="00307224" w:rsidP="00A17FA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Périmètre fonctionnel couvert</w:t>
      </w:r>
    </w:p>
    <w:p w14:paraId="6DC91982" w14:textId="5D874720" w:rsidR="00307224" w:rsidRPr="00A17FAF" w:rsidRDefault="00307224" w:rsidP="00A17FA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Interface réactive accessible via localhost</w:t>
      </w:r>
    </w:p>
    <w:p w14:paraId="56E48ABC" w14:textId="58FD3C00" w:rsidR="00307224" w:rsidRPr="00A17FAF" w:rsidRDefault="00307224" w:rsidP="00A17FA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Tableaux de bord dynamiques avec KPI et graphiques filtrés</w:t>
      </w:r>
    </w:p>
    <w:p w14:paraId="18AB278A" w14:textId="72E29019" w:rsidR="00307224" w:rsidRPr="00A17FAF" w:rsidRDefault="00307224" w:rsidP="00A17FA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Temps de chargement optimisé via @st.cache_data</w:t>
      </w:r>
    </w:p>
    <w:p w14:paraId="7918996B" w14:textId="5213D3C9" w:rsidR="00307224" w:rsidRPr="00A17FAF" w:rsidRDefault="00307224" w:rsidP="00A17FA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Export CSV personnalisé par région</w:t>
      </w:r>
    </w:p>
    <w:p w14:paraId="3FC2983B" w14:textId="5EF3E9EF" w:rsidR="00307224" w:rsidRPr="00A17FAF" w:rsidRDefault="00307224" w:rsidP="00A17FA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17FA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Synthèse automatisée adaptée à chaque territoire</w:t>
      </w:r>
    </w:p>
    <w:p w14:paraId="2756DABD" w14:textId="4E62574E" w:rsidR="00307224" w:rsidRPr="00A17FAF" w:rsidRDefault="00307224" w:rsidP="00A17FA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C00B544" w14:textId="2DBC313D" w:rsidR="00307224" w:rsidRPr="00A17FAF" w:rsidRDefault="00307224" w:rsidP="00A17FA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FE196BB" w14:textId="77777777" w:rsidR="00316F87" w:rsidRPr="00316F87" w:rsidRDefault="00316F87" w:rsidP="00316F87">
      <w:pPr>
        <w:spacing w:line="276" w:lineRule="auto"/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2383"/>
      </w:tblGrid>
      <w:tr w:rsidR="00316F87" w:rsidRPr="00316F87" w14:paraId="33B67F78" w14:textId="77777777" w:rsidTr="0031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4BDE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 xml:space="preserve">Régions </w:t>
            </w:r>
            <w:r w:rsidRPr="00316F87">
              <w:rPr>
                <w:rFonts w:ascii="Arial" w:hAnsi="Arial" w:cs="Arial"/>
                <w:b/>
                <w:bCs/>
                <w:sz w:val="24"/>
                <w:szCs w:val="24"/>
              </w:rPr>
              <w:t>autosuffisantes</w:t>
            </w:r>
          </w:p>
        </w:tc>
        <w:tc>
          <w:tcPr>
            <w:tcW w:w="0" w:type="auto"/>
            <w:vAlign w:val="center"/>
            <w:hideMark/>
          </w:tcPr>
          <w:p w14:paraId="054B4584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>Normandie, Occitanie</w:t>
            </w:r>
          </w:p>
        </w:tc>
      </w:tr>
    </w:tbl>
    <w:p w14:paraId="7B44E001" w14:textId="77777777" w:rsidR="00316F87" w:rsidRPr="00316F87" w:rsidRDefault="00316F87" w:rsidP="00316F87">
      <w:pPr>
        <w:spacing w:line="276" w:lineRule="auto"/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610"/>
      </w:tblGrid>
      <w:tr w:rsidR="00316F87" w:rsidRPr="00316F87" w14:paraId="64EBABAA" w14:textId="77777777" w:rsidTr="0031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7629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 xml:space="preserve">Régions </w:t>
            </w:r>
            <w:r w:rsidRPr="00316F87">
              <w:rPr>
                <w:rFonts w:ascii="Arial" w:hAnsi="Arial" w:cs="Arial"/>
                <w:b/>
                <w:bCs/>
                <w:sz w:val="24"/>
                <w:szCs w:val="24"/>
              </w:rPr>
              <w:t>dépendantes</w:t>
            </w:r>
          </w:p>
        </w:tc>
        <w:tc>
          <w:tcPr>
            <w:tcW w:w="0" w:type="auto"/>
            <w:vAlign w:val="center"/>
            <w:hideMark/>
          </w:tcPr>
          <w:p w14:paraId="228BB6AC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>Île-de-France, Bretagne</w:t>
            </w:r>
          </w:p>
        </w:tc>
      </w:tr>
    </w:tbl>
    <w:p w14:paraId="40258807" w14:textId="77777777" w:rsidR="00316F87" w:rsidRPr="00316F87" w:rsidRDefault="00316F87" w:rsidP="00316F87">
      <w:pPr>
        <w:spacing w:line="276" w:lineRule="auto"/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3313"/>
      </w:tblGrid>
      <w:tr w:rsidR="00316F87" w:rsidRPr="00316F87" w14:paraId="27CC9AA8" w14:textId="77777777" w:rsidTr="0031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4443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 xml:space="preserve">Mois à </w:t>
            </w:r>
            <w:r w:rsidRPr="00316F87">
              <w:rPr>
                <w:rFonts w:ascii="Arial" w:hAnsi="Arial" w:cs="Arial"/>
                <w:b/>
                <w:bCs/>
                <w:sz w:val="24"/>
                <w:szCs w:val="24"/>
              </w:rPr>
              <w:t>déséquilibre fort</w:t>
            </w:r>
          </w:p>
        </w:tc>
        <w:tc>
          <w:tcPr>
            <w:tcW w:w="0" w:type="auto"/>
            <w:vAlign w:val="center"/>
            <w:hideMark/>
          </w:tcPr>
          <w:p w14:paraId="08A7C8BC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>Janvier, décembre (chauffage)</w:t>
            </w:r>
          </w:p>
        </w:tc>
      </w:tr>
    </w:tbl>
    <w:p w14:paraId="6F55E802" w14:textId="77777777" w:rsidR="00316F87" w:rsidRPr="00316F87" w:rsidRDefault="00316F87" w:rsidP="00316F87">
      <w:pPr>
        <w:spacing w:line="276" w:lineRule="auto"/>
        <w:rPr>
          <w:rFonts w:ascii="Arial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3224"/>
      </w:tblGrid>
      <w:tr w:rsidR="00316F87" w:rsidRPr="00316F87" w14:paraId="5B06B234" w14:textId="77777777" w:rsidTr="00316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91C8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6F87">
              <w:rPr>
                <w:rFonts w:ascii="Arial" w:hAnsi="Arial" w:cs="Arial"/>
                <w:b/>
                <w:bCs/>
                <w:sz w:val="24"/>
                <w:szCs w:val="24"/>
              </w:rPr>
              <w:t>Production renouvelable efficace</w:t>
            </w:r>
          </w:p>
        </w:tc>
        <w:tc>
          <w:tcPr>
            <w:tcW w:w="0" w:type="auto"/>
            <w:vAlign w:val="center"/>
            <w:hideMark/>
          </w:tcPr>
          <w:p w14:paraId="568F85A3" w14:textId="77777777" w:rsidR="00316F87" w:rsidRPr="00316F87" w:rsidRDefault="00316F87" w:rsidP="00316F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16F87">
              <w:rPr>
                <w:rFonts w:ascii="Arial" w:hAnsi="Arial" w:cs="Arial"/>
                <w:sz w:val="24"/>
                <w:szCs w:val="24"/>
              </w:rPr>
              <w:t>Occitanie, Nouvelle-Aquitaine</w:t>
            </w:r>
          </w:p>
        </w:tc>
      </w:tr>
    </w:tbl>
    <w:p w14:paraId="17209389" w14:textId="77777777" w:rsidR="003030CD" w:rsidRPr="00A17FAF" w:rsidRDefault="003030CD" w:rsidP="00A17FA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3030CD" w:rsidRPr="00A17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8B9"/>
    <w:multiLevelType w:val="multilevel"/>
    <w:tmpl w:val="FD1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622C"/>
    <w:multiLevelType w:val="multilevel"/>
    <w:tmpl w:val="F0B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2243C"/>
    <w:multiLevelType w:val="multilevel"/>
    <w:tmpl w:val="702E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25F05"/>
    <w:multiLevelType w:val="multilevel"/>
    <w:tmpl w:val="370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60EB0"/>
    <w:multiLevelType w:val="multilevel"/>
    <w:tmpl w:val="36E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32ECB"/>
    <w:multiLevelType w:val="multilevel"/>
    <w:tmpl w:val="D62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B3CEB"/>
    <w:multiLevelType w:val="multilevel"/>
    <w:tmpl w:val="6A8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600257">
    <w:abstractNumId w:val="3"/>
  </w:num>
  <w:num w:numId="2" w16cid:durableId="1031228783">
    <w:abstractNumId w:val="2"/>
  </w:num>
  <w:num w:numId="3" w16cid:durableId="1509709562">
    <w:abstractNumId w:val="6"/>
  </w:num>
  <w:num w:numId="4" w16cid:durableId="1411776753">
    <w:abstractNumId w:val="0"/>
  </w:num>
  <w:num w:numId="5" w16cid:durableId="700322961">
    <w:abstractNumId w:val="5"/>
  </w:num>
  <w:num w:numId="6" w16cid:durableId="1791361784">
    <w:abstractNumId w:val="4"/>
  </w:num>
  <w:num w:numId="7" w16cid:durableId="12932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4"/>
    <w:rsid w:val="000D520D"/>
    <w:rsid w:val="000D6E2C"/>
    <w:rsid w:val="00270C3B"/>
    <w:rsid w:val="003030CD"/>
    <w:rsid w:val="00307224"/>
    <w:rsid w:val="00316F87"/>
    <w:rsid w:val="00A17FAF"/>
    <w:rsid w:val="00D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3911"/>
  <w15:chartTrackingRefBased/>
  <w15:docId w15:val="{61735556-9E67-4FF5-91C3-C9FDC50E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sheja chaudhary</dc:creator>
  <cp:keywords/>
  <dc:description/>
  <cp:lastModifiedBy>sheja chaudhary</cp:lastModifiedBy>
  <cp:revision>4</cp:revision>
  <dcterms:created xsi:type="dcterms:W3CDTF">2025-04-16T12:22:00Z</dcterms:created>
  <dcterms:modified xsi:type="dcterms:W3CDTF">2025-04-17T18:19:00Z</dcterms:modified>
</cp:coreProperties>
</file>