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olor w:val="888888"/>
          <w:sz w:val="20"/>
          <w:szCs w:val="20"/>
        </w:rPr>
        <w:t xml:space="preserve">IXDS 709 — Case Study</w:t>
      </w:r>
    </w:p>
    <w:p>
      <w:pPr>
        <w:spacing w:after="80" w:before="0"/>
      </w:pPr>
      <w:r>
        <w:rPr>
          <w:rFonts w:ascii="Arial" w:cs="Arial" w:eastAsia="Arial" w:hAnsi="Arial"/>
          <w:b/>
          <w:bCs/>
          <w:color w:val="2E5090"/>
          <w:sz w:val="44"/>
          <w:szCs w:val="44"/>
        </w:rPr>
        <w:t xml:space="preserve">Elemental / Quinta Monroy</w:t>
      </w:r>
    </w:p>
    <w:p>
      <w:pPr>
        <w:spacing w:after="60" w:before="0"/>
      </w:pPr>
      <w:r>
        <w:rPr>
          <w:rFonts w:ascii="Arial" w:cs="Arial" w:eastAsia="Arial" w:hAnsi="Arial"/>
          <w:i/>
          <w:iCs/>
          <w:color w:val="444444"/>
          <w:sz w:val="26"/>
          <w:szCs w:val="26"/>
        </w:rPr>
        <w:t xml:space="preserve">"Half a Good House" — Research Notes</w:t>
      </w:r>
    </w:p>
    <w:p>
      <w:pPr>
        <w:pBdr>
          <w:bottom w:val="single" w:color="2E5090" w:sz="8" w:space="8"/>
        </w:pBdr>
        <w:spacing w:after="480" w:before="0"/>
      </w:pPr>
      <w:r>
        <w:rPr>
          <w:rFonts w:ascii="Arial" w:cs="Arial" w:eastAsia="Arial" w:hAnsi="Arial"/>
          <w:color w:val="888888"/>
          <w:sz w:val="20"/>
          <w:szCs w:val="20"/>
        </w:rPr>
        <w:t xml:space="preserve">Ian Arnoldy + Yuchen  |  Spring 2026</w:t>
      </w:r>
    </w:p>
    <w:p>
      <w:pPr>
        <w:spacing w:after="120" w:before="120"/>
      </w:pPr>
      <w:r>
        <w:t xml:space="preserve"/>
      </w:r>
    </w:p>
    <w:p>
      <w:pPr>
        <w:pStyle w:val="Heading1"/>
        <w:pBdr>
          <w:bottom w:val="single" w:color="2E5090" w:sz="6" w:space="4"/>
        </w:pBdr>
        <w:spacing w:after="160" w:before="400"/>
      </w:pPr>
      <w:r>
        <w:rPr>
          <w:rFonts w:ascii="Arial" w:cs="Arial" w:eastAsia="Arial" w:hAnsi="Arial"/>
          <w:b/>
          <w:bCs/>
          <w:color w:val="2E5090"/>
          <w:sz w:val="32"/>
          <w:szCs w:val="32"/>
        </w:rPr>
        <w:t xml:space="preserve">Section A — Context &amp; Background</w:t>
      </w:r>
    </w:p>
    <w:p>
      <w:pPr>
        <w:spacing w:after="80" w:before="280"/>
      </w:pPr>
      <w:r>
        <w:rPr>
          <w:rFonts w:ascii="Arial" w:cs="Arial" w:eastAsia="Arial" w:hAnsi="Arial"/>
          <w:b/>
          <w:bCs/>
          <w:color w:val="2E5090"/>
          <w:sz w:val="22"/>
          <w:szCs w:val="22"/>
        </w:rPr>
        <w:t xml:space="preserve">A1  </w:t>
      </w:r>
      <w:r>
        <w:rPr>
          <w:rFonts w:ascii="Arial" w:cs="Arial" w:eastAsia="Arial" w:hAnsi="Arial"/>
          <w:b/>
          <w:bCs/>
          <w:color w:val="1A1A1A"/>
          <w:sz w:val="22"/>
          <w:szCs w:val="22"/>
        </w:rPr>
        <w:t xml:space="preserve">What is Elemental the firm?</w:t>
      </w:r>
    </w:p>
    <w:p>
      <w:pPr>
        <w:spacing w:after="100" w:before="60"/>
        <w:jc w:val="both"/>
      </w:pPr>
      <w:r>
        <w:rPr>
          <w:rFonts w:ascii="Arial" w:cs="Arial" w:eastAsia="Arial" w:hAnsi="Arial"/>
          <w:color w:val="2C2C2C"/>
          <w:sz w:val="22"/>
          <w:szCs w:val="22"/>
        </w:rPr>
        <w:t xml:space="preserve">Elemental was founded in 2000, growing out of the desire to address Chile's social housing problem. It is an unusual partnership between architect Alejandro Aravena, the Pontificia Universidad Católica de Chile (PUC), and the Chilean oil company COPEC. Aravena describes it as a 'do tank' — not a talking shop, but an office committed to implementing solutions within real-world constraints. His partner Iacobelli set a founding rule: if they believed their approach had merit, they had to prove it under the same conditions as everyone else — no fewer than 200 units at a time, within the budget that public policy offers.</w:t>
      </w:r>
    </w:p>
    <w:p>
      <w:pPr>
        <w:spacing w:after="100" w:before="60"/>
        <w:jc w:val="both"/>
      </w:pPr>
      <w:r>
        <w:rPr>
          <w:rFonts w:ascii="Arial" w:cs="Arial" w:eastAsia="Arial" w:hAnsi="Arial"/>
          <w:color w:val="2C2C2C"/>
          <w:sz w:val="22"/>
          <w:szCs w:val="22"/>
        </w:rPr>
        <w:t xml:space="preserve">Aravena has stated: 'We don't think of ourselves as artists. Architects like to build things that are unique. But if something is unique it can't be repeated, so in terms of serving many people in many places, the value is close to zero.' This pragmatic stance sets Elemental apart from most architecture firms. A hallmark of the firm is its participatory design process, in which architects work closely with both clients and end users. By the time of the 2016 Pritzker Prize, Elemental had built over 2,500 units of low-cost social housing across Chile, Mexico, the United States, China, and Switzerland.</w:t>
      </w:r>
    </w:p>
    <w:p>
      <w:pPr>
        <w:spacing w:after="120" w:before="40"/>
      </w:pPr>
      <w:r>
        <w:rPr>
          <w:rFonts w:ascii="Arial" w:cs="Arial" w:eastAsia="Arial" w:hAnsi="Arial"/>
          <w:i/>
          <w:iCs/>
          <w:color w:val="666666"/>
          <w:sz w:val="18"/>
          <w:szCs w:val="18"/>
        </w:rPr>
        <w:t xml:space="preserve">Source: Spatial Agency; Pritzker Prize biography; Justin McGuirk / Dezeen</w:t>
      </w:r>
    </w:p>
    <w:p>
      <w:pPr>
        <w:spacing w:after="120" w:before="120"/>
      </w:pPr>
      <w:r>
        <w:t xml:space="preserve"/>
      </w:r>
    </w:p>
    <w:p>
      <w:pPr>
        <w:spacing w:after="80" w:before="280"/>
      </w:pPr>
      <w:r>
        <w:rPr>
          <w:rFonts w:ascii="Arial" w:cs="Arial" w:eastAsia="Arial" w:hAnsi="Arial"/>
          <w:b/>
          <w:bCs/>
          <w:color w:val="2E5090"/>
          <w:sz w:val="22"/>
          <w:szCs w:val="22"/>
        </w:rPr>
        <w:t xml:space="preserve">A2  </w:t>
      </w:r>
      <w:r>
        <w:rPr>
          <w:rFonts w:ascii="Arial" w:cs="Arial" w:eastAsia="Arial" w:hAnsi="Arial"/>
          <w:b/>
          <w:bCs/>
          <w:color w:val="1A1A1A"/>
          <w:sz w:val="22"/>
          <w:szCs w:val="22"/>
        </w:rPr>
        <w:t xml:space="preserve">Who lived in Quinta Monroy before the project?</w:t>
      </w:r>
    </w:p>
    <w:p>
      <w:pPr>
        <w:spacing w:after="100" w:before="60"/>
        <w:jc w:val="both"/>
      </w:pPr>
      <w:r>
        <w:rPr>
          <w:rFonts w:ascii="Arial" w:cs="Arial" w:eastAsia="Arial" w:hAnsi="Arial"/>
          <w:color w:val="2C2C2C"/>
          <w:sz w:val="22"/>
          <w:szCs w:val="22"/>
        </w:rPr>
        <w:t xml:space="preserve">The Quinta Monroy site is a 5,000 m² plot in the center of Iquique, a desert city of roughly 200,000 people located 1,700 km north of Santiago. The informal settlement emerged in the 1960s, initially occupied by migrants. By 2003, the population had grown from about 50 original families to approximately 100 households. Living conditions were extremely poor: 60% of rooms lacked natural light and ventilation, residents had no formal access to electricity, water, or sanitation, and the settlement was vulnerable to fires — a blaze in 1980 left 20 families homeless — as well as crime and drug activity.</w:t>
      </w:r>
    </w:p>
    <w:p>
      <w:pPr>
        <w:spacing w:after="100" w:before="60"/>
        <w:jc w:val="both"/>
      </w:pPr>
      <w:r>
        <w:rPr>
          <w:rFonts w:ascii="Arial" w:cs="Arial" w:eastAsia="Arial" w:hAnsi="Arial"/>
          <w:color w:val="2C2C2C"/>
          <w:sz w:val="22"/>
          <w:szCs w:val="22"/>
        </w:rPr>
        <w:t xml:space="preserve">After the death of the previous landowner in 2000, the site's value tripled, and the tenants faced eviction. The residents organised and appealed to the Chilean government for a permanent housing solution on the same land. The government contacted Elemental through the Catholic University of Chile. A critical issue voiced at community meetings was the overwhelming desire to stay: the families had spent 30 years building social networks, accessing employment, schools, healthcare, and transport from this central location. Any move to the urban periphery would have severed these connections and eliminated the informal economic activity that supported many of the households. During initial consultations, residents even threatened a hunger strike against any proposal that might displace them.</w:t>
      </w:r>
    </w:p>
    <w:p>
      <w:pPr>
        <w:spacing w:after="120" w:before="40"/>
      </w:pPr>
      <w:r>
        <w:rPr>
          <w:rFonts w:ascii="Arial" w:cs="Arial" w:eastAsia="Arial" w:hAnsi="Arial"/>
          <w:i/>
          <w:iCs/>
          <w:color w:val="666666"/>
          <w:sz w:val="18"/>
          <w:szCs w:val="18"/>
        </w:rPr>
        <w:t xml:space="preserve">Source: Wikipedia / Quinta Monroy; Carrasco &amp; O'Brien (2021); MoMA / Aravena transcript; revistalatinafocus.com</w:t>
      </w:r>
    </w:p>
    <w:p>
      <w:pPr>
        <w:spacing w:after="120" w:before="120"/>
      </w:pPr>
      <w:r>
        <w:t xml:space="preserve"/>
      </w:r>
    </w:p>
    <w:p>
      <w:pPr>
        <w:spacing w:after="80" w:before="280"/>
      </w:pPr>
      <w:r>
        <w:rPr>
          <w:rFonts w:ascii="Arial" w:cs="Arial" w:eastAsia="Arial" w:hAnsi="Arial"/>
          <w:b/>
          <w:bCs/>
          <w:color w:val="2E5090"/>
          <w:sz w:val="22"/>
          <w:szCs w:val="22"/>
        </w:rPr>
        <w:t xml:space="preserve">A3  </w:t>
      </w:r>
      <w:r>
        <w:rPr>
          <w:rFonts w:ascii="Arial" w:cs="Arial" w:eastAsia="Arial" w:hAnsi="Arial"/>
          <w:b/>
          <w:bCs/>
          <w:color w:val="1A1A1A"/>
          <w:sz w:val="22"/>
          <w:szCs w:val="22"/>
        </w:rPr>
        <w:t xml:space="preserve">What does $7,500 normally buy in Chilean social housing?</w:t>
      </w:r>
    </w:p>
    <w:p>
      <w:pPr>
        <w:spacing w:after="100" w:before="60"/>
        <w:jc w:val="both"/>
      </w:pPr>
      <w:r>
        <w:rPr>
          <w:rFonts w:ascii="Arial" w:cs="Arial" w:eastAsia="Arial" w:hAnsi="Arial"/>
          <w:color w:val="2C2C2C"/>
          <w:sz w:val="22"/>
          <w:szCs w:val="22"/>
        </w:rPr>
        <w:t xml:space="preserve">The government subsidy available through the Vivienda Social Dinamica sin Deuda (VSDsD) program was US$10,000 per household total: $2,500 toward land costs and $7,500 for construction. At that price, the best a standard developer could produce was approximately 36 square meters of built space — roughly half the floor area of a typical Chilean middle-class home of around 80 square meters. In the early 2000s, Chile was producing roughly 100,000 social housing units per year, almost all of which were small, complete dwellings in undesirable peripheral locations.</w:t>
      </w:r>
    </w:p>
    <w:p>
      <w:pPr>
        <w:spacing w:after="100" w:before="60"/>
        <w:jc w:val="both"/>
      </w:pPr>
      <w:r>
        <w:rPr>
          <w:rFonts w:ascii="Arial" w:cs="Arial" w:eastAsia="Arial" w:hAnsi="Arial"/>
          <w:color w:val="2C2C2C"/>
          <w:sz w:val="22"/>
          <w:szCs w:val="22"/>
        </w:rPr>
        <w:t xml:space="preserve">This model carried fundamental problems. The sites chosen for social housing were increasingly distant from city centres, forcing long commutes of two to three hours and isolating residents from employment, services, and social networks. Properties built on the periphery also tended to lose value rather than gain it — turning housing subsidies into a sunk cost rather than an asset. A broader pattern emerged: absolute poverty rates declined, but a new form of poverty characterised by social exclusion, crime, and drug abuse took root in these peripheral housing estates. In short, standard social housing gave families a roof but trapped them in conditions that made wealth accumulation impossible.</w:t>
      </w:r>
    </w:p>
    <w:p>
      <w:pPr>
        <w:spacing w:after="120" w:before="40"/>
      </w:pPr>
      <w:r>
        <w:rPr>
          <w:rFonts w:ascii="Arial" w:cs="Arial" w:eastAsia="Arial" w:hAnsi="Arial"/>
          <w:i/>
          <w:iCs/>
          <w:color w:val="666666"/>
          <w:sz w:val="18"/>
          <w:szCs w:val="18"/>
        </w:rPr>
        <w:t xml:space="preserve">Source: Wikipedia / Quinta Monroy; Dezeen (2025); Lincoln Institute of Land Policy; ArchDaily</w:t>
      </w:r>
    </w:p>
    <w:p>
      <w:pPr>
        <w:spacing w:after="120" w:before="120"/>
      </w:pPr>
      <w:r>
        <w:t xml:space="preserve"/>
      </w:r>
    </w:p>
    <w:p>
      <w:pPr>
        <w:pStyle w:val="Heading1"/>
        <w:pBdr>
          <w:bottom w:val="single" w:color="2E5090" w:sz="6" w:space="4"/>
        </w:pBdr>
        <w:spacing w:after="160" w:before="400"/>
      </w:pPr>
      <w:r>
        <w:rPr>
          <w:rFonts w:ascii="Arial" w:cs="Arial" w:eastAsia="Arial" w:hAnsi="Arial"/>
          <w:b/>
          <w:bCs/>
          <w:color w:val="2E5090"/>
          <w:sz w:val="32"/>
          <w:szCs w:val="32"/>
        </w:rPr>
        <w:t xml:space="preserve">Section B — The Design Solution</w:t>
      </w:r>
    </w:p>
    <w:p>
      <w:pPr>
        <w:spacing w:after="80" w:before="280"/>
      </w:pPr>
      <w:r>
        <w:rPr>
          <w:rFonts w:ascii="Arial" w:cs="Arial" w:eastAsia="Arial" w:hAnsi="Arial"/>
          <w:b/>
          <w:bCs/>
          <w:color w:val="2E5090"/>
          <w:sz w:val="22"/>
          <w:szCs w:val="22"/>
        </w:rPr>
        <w:t xml:space="preserve">B1  </w:t>
      </w:r>
      <w:r>
        <w:rPr>
          <w:rFonts w:ascii="Arial" w:cs="Arial" w:eastAsia="Arial" w:hAnsi="Arial"/>
          <w:b/>
          <w:bCs/>
          <w:color w:val="1A1A1A"/>
          <w:sz w:val="22"/>
          <w:szCs w:val="22"/>
        </w:rPr>
        <w:t xml:space="preserve">How does the 'half a good house' design actually work?</w:t>
      </w:r>
    </w:p>
    <w:p>
      <w:pPr>
        <w:spacing w:after="100" w:before="60"/>
        <w:jc w:val="both"/>
      </w:pPr>
      <w:r>
        <w:rPr>
          <w:rFonts w:ascii="Arial" w:cs="Arial" w:eastAsia="Arial" w:hAnsi="Arial"/>
          <w:color w:val="2C2C2C"/>
          <w:sz w:val="22"/>
          <w:szCs w:val="22"/>
        </w:rPr>
        <w:t xml:space="preserve">Elemental's core reframe was this: with $7,500, one could build approximately 36 m² — or that 36 m² could be understood as half of a good house rather than a small complete house. The firm built the structural skeleton, foundation, roof, kitchen, bathroom, partition walls, and internal staircase — everything a family could not reasonably build themselves. A matching empty frame of equal size was left adjacent for the family to fill over time.</w:t>
      </w:r>
    </w:p>
    <w:p>
      <w:pPr>
        <w:spacing w:after="100" w:before="60"/>
        <w:jc w:val="both"/>
      </w:pPr>
      <w:r>
        <w:rPr>
          <w:rFonts w:ascii="Arial" w:cs="Arial" w:eastAsia="Arial" w:hAnsi="Arial"/>
          <w:color w:val="2C2C2C"/>
          <w:sz w:val="22"/>
          <w:szCs w:val="22"/>
        </w:rPr>
        <w:t xml:space="preserve">The 93 units were arranged in two-storey parallel rows around four shared courtyards, preserving a sense of neighbourhood and prior social ties. Two typologies were used: Type-1 (ground floor, 34 units) occupied three modules, two built and one left for expansion, with a backyard of 27 m² usable up to 60%. Type-2 (duplex, the majority) stacked two built modules with two more pre-planned above. Elemental called this approach 'middle-class DNA' — housing designed to grow in value rather than deteriorate. Each unit could eventually reach 72 m². By 2017, the average unit had expanded by 230% of its original footprint, and 92 out of 93 households had made modifications.</w:t>
      </w:r>
    </w:p>
    <w:p>
      <w:pPr>
        <w:spacing w:after="120" w:before="40"/>
      </w:pPr>
      <w:r>
        <w:rPr>
          <w:rFonts w:ascii="Arial" w:cs="Arial" w:eastAsia="Arial" w:hAnsi="Arial"/>
          <w:i/>
          <w:iCs/>
          <w:color w:val="666666"/>
          <w:sz w:val="18"/>
          <w:szCs w:val="18"/>
        </w:rPr>
        <w:t xml:space="preserve">Source: RTF Rethinking The Future; Wikipedia / Quinta Monroy; MoMA / Aravena transcript; Carrasco &amp; O'Brien (2021)</w:t>
      </w:r>
    </w:p>
    <w:p>
      <w:pPr>
        <w:spacing w:after="120" w:before="120"/>
      </w:pPr>
      <w:r>
        <w:t xml:space="preserve"/>
      </w:r>
    </w:p>
    <w:p>
      <w:pPr>
        <w:spacing w:after="80" w:before="280"/>
      </w:pPr>
      <w:r>
        <w:rPr>
          <w:rFonts w:ascii="Arial" w:cs="Arial" w:eastAsia="Arial" w:hAnsi="Arial"/>
          <w:b/>
          <w:bCs/>
          <w:color w:val="2E5090"/>
          <w:sz w:val="22"/>
          <w:szCs w:val="22"/>
        </w:rPr>
        <w:t xml:space="preserve">B2  </w:t>
      </w:r>
      <w:r>
        <w:rPr>
          <w:rFonts w:ascii="Arial" w:cs="Arial" w:eastAsia="Arial" w:hAnsi="Arial"/>
          <w:b/>
          <w:bCs/>
          <w:color w:val="1A1A1A"/>
          <w:sz w:val="22"/>
          <w:szCs w:val="22"/>
        </w:rPr>
        <w:t xml:space="preserve">What is the displacement feedback loop?</w:t>
      </w:r>
    </w:p>
    <w:p>
      <w:pPr>
        <w:spacing w:after="100" w:before="60"/>
        <w:jc w:val="both"/>
      </w:pPr>
      <w:r>
        <w:rPr>
          <w:rFonts w:ascii="Arial" w:cs="Arial" w:eastAsia="Arial" w:hAnsi="Arial"/>
          <w:color w:val="2C2C2C"/>
          <w:sz w:val="22"/>
          <w:szCs w:val="22"/>
        </w:rPr>
        <w:t xml:space="preserve">The systemic trap Elemental identified can be described as follows: because social housing budgets are tight, the government buys cheap land — which is far from city centres. Families relocate there, losing access to jobs, schools, and services. Isolated from economic opportunity, their properties lose value rather than gaining it. Unable to build savings or equity, they remain poor. And because they remain poor, any future housing move again leads to cheap peripheral land. The cycle repeats.</w:t>
      </w:r>
    </w:p>
    <w:p>
      <w:pPr>
        <w:spacing w:after="100" w:before="60"/>
        <w:jc w:val="both"/>
      </w:pPr>
      <w:r>
        <w:rPr>
          <w:rFonts w:ascii="Arial" w:cs="Arial" w:eastAsia="Arial" w:hAnsi="Arial"/>
          <w:color w:val="2C2C2C"/>
          <w:sz w:val="22"/>
          <w:szCs w:val="22"/>
        </w:rPr>
        <w:t xml:space="preserve">Elemental broke this loop at its root by keeping the families on the land they already occupied in central Iquique — even though that land cost three times the amount typically budgeted for social housing sites (consuming 70% of the total project budget). The result was that families retained their social networks, jobs, and access to city services. Property values responded immediately: Aravena reported that the homes tripled in value within a year of completion. One source notes the homes roughly doubled in initial value in the short term, with Aravena's broader claim of tripling widely cited. In contrast to most Chilean social housing — which depreciated rapidly — Quinta Monroy turned the subsidy into an investment asset, breaking the poverty cycle through location rather than square footage.</w:t>
      </w:r>
    </w:p>
    <w:p>
      <w:pPr>
        <w:spacing w:after="120" w:before="40"/>
      </w:pPr>
      <w:r>
        <w:rPr>
          <w:rFonts w:ascii="Arial" w:cs="Arial" w:eastAsia="Arial" w:hAnsi="Arial"/>
          <w:i/>
          <w:iCs/>
          <w:color w:val="666666"/>
          <w:sz w:val="18"/>
          <w:szCs w:val="18"/>
        </w:rPr>
        <w:t xml:space="preserve">Source: Dezeen (2025); revistalatinafocus.com; arquitecturaviva.com</w:t>
      </w:r>
    </w:p>
    <w:p>
      <w:pPr>
        <w:spacing w:after="120" w:before="120"/>
      </w:pPr>
      <w:r>
        <w:t xml:space="preserve"/>
      </w:r>
    </w:p>
    <w:p>
      <w:pPr>
        <w:spacing w:after="80" w:before="280"/>
      </w:pPr>
      <w:r>
        <w:rPr>
          <w:rFonts w:ascii="Arial" w:cs="Arial" w:eastAsia="Arial" w:hAnsi="Arial"/>
          <w:b/>
          <w:bCs/>
          <w:color w:val="2E5090"/>
          <w:sz w:val="22"/>
          <w:szCs w:val="22"/>
        </w:rPr>
        <w:t xml:space="preserve">B3  </w:t>
      </w:r>
      <w:r>
        <w:rPr>
          <w:rFonts w:ascii="Arial" w:cs="Arial" w:eastAsia="Arial" w:hAnsi="Arial"/>
          <w:b/>
          <w:bCs/>
          <w:color w:val="1A1A1A"/>
          <w:sz w:val="22"/>
          <w:szCs w:val="22"/>
        </w:rPr>
        <w:t xml:space="preserve">What is 'participatory design' in this project?</w:t>
      </w:r>
    </w:p>
    <w:p>
      <w:pPr>
        <w:spacing w:after="100" w:before="60"/>
        <w:jc w:val="both"/>
      </w:pPr>
      <w:r>
        <w:rPr>
          <w:rFonts w:ascii="Arial" w:cs="Arial" w:eastAsia="Arial" w:hAnsi="Arial"/>
          <w:color w:val="2C2C2C"/>
          <w:sz w:val="22"/>
          <w:szCs w:val="22"/>
        </w:rPr>
        <w:t xml:space="preserve">Before and during construction, Elemental hosted a series of community-based public meetings at Quinta Monroy. The process involved ongoing workshops covering settlement layout, budget constraints, housing typology selection, site visits, and guidelines for future extensions and maintenance. Residents were asked a key question: if you can only have half a house now, which half do you need us to build? Their answers shaped the design — for instance, families with many children prioritised extra bedrooms; others saw the expandable frame as a potential income source through sub-letting.</w:t>
      </w:r>
    </w:p>
    <w:p>
      <w:pPr>
        <w:spacing w:after="100" w:before="60"/>
        <w:jc w:val="both"/>
      </w:pPr>
      <w:r>
        <w:rPr>
          <w:rFonts w:ascii="Arial" w:cs="Arial" w:eastAsia="Arial" w:hAnsi="Arial"/>
          <w:color w:val="2C2C2C"/>
          <w:sz w:val="22"/>
          <w:szCs w:val="22"/>
        </w:rPr>
        <w:t xml:space="preserve">Aravena described participatory design as a form of deep community consultation, with the goal of helping residents define the question — not just deliver an answer. The desire to remain in their original neighbourhood was the strongest message from workshops, and it became the non-negotiable constraint around which the entire design strategy was built. It is worth noting that scholars have offered a more critical reading: some researchers argue that the participatory element in Quinta Monroy aligned more with a client-provider relationship than genuine co-design, as experts retained decision-making authority over structural and management matters. The residents' agency was real but bounded — primarily expressed through choices within a framework already set by the architects.</w:t>
      </w:r>
    </w:p>
    <w:p>
      <w:pPr>
        <w:spacing w:after="120" w:before="40"/>
      </w:pPr>
      <w:r>
        <w:rPr>
          <w:rFonts w:ascii="Arial" w:cs="Arial" w:eastAsia="Arial" w:hAnsi="Arial"/>
          <w:i/>
          <w:iCs/>
          <w:color w:val="666666"/>
          <w:sz w:val="18"/>
          <w:szCs w:val="18"/>
        </w:rPr>
        <w:t xml:space="preserve">Source: Carrasco &amp; O'Brien (2021); RTF Rethinking The Future; Tandfonline / participatory design critical analysis</w:t>
      </w:r>
    </w:p>
    <w:p>
      <w:pPr>
        <w:spacing w:after="120" w:before="120"/>
      </w:pPr>
      <w:r>
        <w:t xml:space="preserve"/>
      </w:r>
    </w:p>
    <w:p>
      <w:pPr>
        <w:pStyle w:val="Heading1"/>
        <w:pBdr>
          <w:bottom w:val="single" w:color="2E5090" w:sz="6" w:space="4"/>
        </w:pBdr>
        <w:spacing w:after="160" w:before="400"/>
      </w:pPr>
      <w:r>
        <w:rPr>
          <w:rFonts w:ascii="Arial" w:cs="Arial" w:eastAsia="Arial" w:hAnsi="Arial"/>
          <w:b/>
          <w:bCs/>
          <w:color w:val="2E5090"/>
          <w:sz w:val="32"/>
          <w:szCs w:val="32"/>
        </w:rPr>
        <w:t xml:space="preserve">Section C — Policy &amp; Systems Change</w:t>
      </w:r>
    </w:p>
    <w:p>
      <w:pPr>
        <w:spacing w:after="80" w:before="280"/>
      </w:pPr>
      <w:r>
        <w:rPr>
          <w:rFonts w:ascii="Arial" w:cs="Arial" w:eastAsia="Arial" w:hAnsi="Arial"/>
          <w:b/>
          <w:bCs/>
          <w:color w:val="2E5090"/>
          <w:sz w:val="22"/>
          <w:szCs w:val="22"/>
        </w:rPr>
        <w:t xml:space="preserve">C1  </w:t>
      </w:r>
      <w:r>
        <w:rPr>
          <w:rFonts w:ascii="Arial" w:cs="Arial" w:eastAsia="Arial" w:hAnsi="Arial"/>
          <w:b/>
          <w:bCs/>
          <w:color w:val="1A1A1A"/>
          <w:sz w:val="22"/>
          <w:szCs w:val="22"/>
        </w:rPr>
        <w:t xml:space="preserve">What policy did Elemental have to change?</w:t>
      </w:r>
    </w:p>
    <w:p>
      <w:pPr>
        <w:spacing w:after="100" w:before="60"/>
        <w:jc w:val="both"/>
      </w:pPr>
      <w:r>
        <w:rPr>
          <w:rFonts w:ascii="Arial" w:cs="Arial" w:eastAsia="Arial" w:hAnsi="Arial"/>
          <w:color w:val="2C2C2C"/>
          <w:sz w:val="22"/>
          <w:szCs w:val="22"/>
        </w:rPr>
        <w:t xml:space="preserve">Standard Chilean government housing policy at the time required that the entire subsidy per household be spent on delivering one complete dwelling unit. Elemental proposed a fundamentally different model: spend the same subsidy on half a unit — built to a high structural standard — and rely on families to complete the remainder over time. This required convincing MINVU (the Ministry of Housing and Urbanism) to accept the approach within the existing VSDsD program framework.</w:t>
      </w:r>
    </w:p>
    <w:p>
      <w:pPr>
        <w:spacing w:after="100" w:before="60"/>
        <w:jc w:val="both"/>
      </w:pPr>
      <w:r>
        <w:rPr>
          <w:rFonts w:ascii="Arial" w:cs="Arial" w:eastAsia="Arial" w:hAnsi="Arial"/>
          <w:color w:val="2C2C2C"/>
          <w:sz w:val="22"/>
          <w:szCs w:val="22"/>
        </w:rPr>
        <w:t xml:space="preserve">The key arguments Aravena used were economic and empirical rather than ideological. First, he demonstrated that a well-located, structurally sound half-house on central land would gain value — making the subsidy an investment rather than an expense. Second, he showed that the informal self-building behaviour of low-income families already existed; Elemental was simply formalising and enabling it rather than suppressing it. Third, the Catholic University connection lent academic credibility to the proposal. The government accepted the framework, and residents received joint ownership of their units in a condominium format — giving them formal property rights that provided legal and financial security, and further incentivised investment in their homes. The VSDsD program then became the vehicle through which the half-house model was implemented and later replicated across at least twelve additional housing projects in Chile and Mexico.</w:t>
      </w:r>
    </w:p>
    <w:p>
      <w:pPr>
        <w:spacing w:after="120" w:before="40"/>
      </w:pPr>
      <w:r>
        <w:rPr>
          <w:rFonts w:ascii="Arial" w:cs="Arial" w:eastAsia="Arial" w:hAnsi="Arial"/>
          <w:i/>
          <w:iCs/>
          <w:color w:val="666666"/>
          <w:sz w:val="18"/>
          <w:szCs w:val="18"/>
        </w:rPr>
        <w:t xml:space="preserve">Source: Wikipedia / Quinta Monroy; RTF Rethinking The Future; Carrasco &amp; O'Brien (2021)</w:t>
      </w:r>
    </w:p>
    <w:p>
      <w:pPr>
        <w:spacing w:after="120" w:before="120"/>
      </w:pPr>
      <w:r>
        <w:t xml:space="preserve"/>
      </w:r>
    </w:p>
    <w:p>
      <w:pPr>
        <w:pStyle w:val="Heading1"/>
        <w:pBdr>
          <w:bottom w:val="single" w:color="2E5090" w:sz="6" w:space="4"/>
        </w:pBdr>
        <w:spacing w:after="160" w:before="400"/>
      </w:pPr>
      <w:r>
        <w:rPr>
          <w:rFonts w:ascii="Arial" w:cs="Arial" w:eastAsia="Arial" w:hAnsi="Arial"/>
          <w:b/>
          <w:bCs/>
          <w:color w:val="2E5090"/>
          <w:sz w:val="32"/>
          <w:szCs w:val="32"/>
        </w:rPr>
        <w:t xml:space="preserve">Section D — Impact &amp; Legacy</w:t>
      </w:r>
    </w:p>
    <w:p>
      <w:pPr>
        <w:spacing w:after="80" w:before="280"/>
      </w:pPr>
      <w:r>
        <w:rPr>
          <w:rFonts w:ascii="Arial" w:cs="Arial" w:eastAsia="Arial" w:hAnsi="Arial"/>
          <w:b/>
          <w:bCs/>
          <w:color w:val="2E5090"/>
          <w:sz w:val="22"/>
          <w:szCs w:val="22"/>
        </w:rPr>
        <w:t xml:space="preserve">D1  </w:t>
      </w:r>
      <w:r>
        <w:rPr>
          <w:rFonts w:ascii="Arial" w:cs="Arial" w:eastAsia="Arial" w:hAnsi="Arial"/>
          <w:b/>
          <w:bCs/>
          <w:color w:val="1A1A1A"/>
          <w:sz w:val="22"/>
          <w:szCs w:val="22"/>
        </w:rPr>
        <w:t xml:space="preserve">What is the Pritzker Prize and why did Aravena win it?</w:t>
      </w:r>
    </w:p>
    <w:p>
      <w:pPr>
        <w:spacing w:after="100" w:before="60"/>
        <w:jc w:val="both"/>
      </w:pPr>
      <w:r>
        <w:rPr>
          <w:rFonts w:ascii="Arial" w:cs="Arial" w:eastAsia="Arial" w:hAnsi="Arial"/>
          <w:color w:val="2C2C2C"/>
          <w:sz w:val="22"/>
          <w:szCs w:val="22"/>
        </w:rPr>
        <w:t xml:space="preserve">The Pritzker Architecture Prize is architecture's highest international honour, awarded annually since 1979 by the Hyatt Foundation. It is often described as the 'Nobel Prize of architecture.' Alejandro Aravena became the 41st laureate in 2016 — the first Chilean, and the fourth Latin American to receive the award, after Luis Barragán (1980), Oscar Niemeyer (1988), and Paulo Mendes da Rocha (2006).</w:t>
      </w:r>
    </w:p>
    <w:p>
      <w:pPr>
        <w:spacing w:after="100" w:before="60"/>
        <w:jc w:val="both"/>
      </w:pPr>
      <w:r>
        <w:rPr>
          <w:rFonts w:ascii="Arial" w:cs="Arial" w:eastAsia="Arial" w:hAnsi="Arial"/>
          <w:color w:val="2C2C2C"/>
          <w:sz w:val="22"/>
          <w:szCs w:val="22"/>
        </w:rPr>
        <w:t xml:space="preserve">The jury citation specifically recognised Aravena's ability to connect social responsibility, economic demands, and the design of human habitat. Key passages include: 'Alejandro Aravena epitomises the revival of a more socially engaged architect, especially in his long-term commitment to tackling the global housing crisis and fighting for a better urban environment for all.' The jury also highlighted his expanded conception of the architect's role: 'The younger generation of architects and designers who are looking for opportunities to effect change can learn from the way Alejandro Aravena takes on multiple roles instead of the singular position of a designer to facilitate a housing project.' The jury noted that through this approach, 'he gives the profession of architect a new dimension, which is necessary to respond to present demands and meet future challenges of the field.'</w:t>
      </w:r>
    </w:p>
    <w:p>
      <w:pPr>
        <w:spacing w:after="100" w:before="60"/>
        <w:jc w:val="both"/>
      </w:pPr>
      <w:r>
        <w:rPr>
          <w:rFonts w:ascii="Arial" w:cs="Arial" w:eastAsia="Arial" w:hAnsi="Arial"/>
          <w:color w:val="2C2C2C"/>
          <w:sz w:val="22"/>
          <w:szCs w:val="22"/>
        </w:rPr>
        <w:t xml:space="preserve">At the award ceremony at the United Nations headquarters in New York, Aravena announced that Elemental would open-source the designs for four of its incremental housing projects — Quinta Monroy (Iquique), Villa Verde (Constitucion), Monterrey Housing (Mexico), and Lo Barnechea (Santiago) — making full plans and files freely available for governments, developers, and researchers worldwide. His stated aim was to 'rule out one more excuse for why markets and governments don't move in this direction to tackle the challenge of massive rapid urbanization.'</w:t>
      </w:r>
    </w:p>
    <w:p>
      <w:pPr>
        <w:spacing w:after="120" w:before="40"/>
      </w:pPr>
      <w:r>
        <w:rPr>
          <w:rFonts w:ascii="Arial" w:cs="Arial" w:eastAsia="Arial" w:hAnsi="Arial"/>
          <w:i/>
          <w:iCs/>
          <w:color w:val="666666"/>
          <w:sz w:val="18"/>
          <w:szCs w:val="18"/>
        </w:rPr>
        <w:t xml:space="preserve">Source: Pritzker Prize jury citation (2016); Dezeen / open-source announcement; ArchDaily / Architect Magazine</w:t>
      </w:r>
    </w:p>
    <w:p>
      <w:pPr>
        <w:spacing w:after="120" w:before="120"/>
      </w:pPr>
      <w:r>
        <w:t xml:space="preserve"/>
      </w:r>
    </w:p>
    <w:p>
      <w:pPr>
        <w:spacing w:after="80" w:before="280"/>
      </w:pPr>
      <w:r>
        <w:rPr>
          <w:rFonts w:ascii="Arial" w:cs="Arial" w:eastAsia="Arial" w:hAnsi="Arial"/>
          <w:b/>
          <w:bCs/>
          <w:color w:val="2E5090"/>
          <w:sz w:val="22"/>
          <w:szCs w:val="22"/>
        </w:rPr>
        <w:t xml:space="preserve">D2  </w:t>
      </w:r>
      <w:r>
        <w:rPr>
          <w:rFonts w:ascii="Arial" w:cs="Arial" w:eastAsia="Arial" w:hAnsi="Arial"/>
          <w:b/>
          <w:bCs/>
          <w:color w:val="1A1A1A"/>
          <w:sz w:val="22"/>
          <w:szCs w:val="22"/>
        </w:rPr>
        <w:t xml:space="preserve">What happened in Constitucion after the 2010 earthquake?</w:t>
      </w:r>
    </w:p>
    <w:p>
      <w:pPr>
        <w:spacing w:after="100" w:before="60"/>
        <w:jc w:val="both"/>
      </w:pPr>
      <w:r>
        <w:rPr>
          <w:rFonts w:ascii="Arial" w:cs="Arial" w:eastAsia="Arial" w:hAnsi="Arial"/>
          <w:color w:val="2C2C2C"/>
          <w:sz w:val="22"/>
          <w:szCs w:val="22"/>
        </w:rPr>
        <w:t xml:space="preserve">On February 27, 2010, an 8.8-magnitude earthquake and subsequent tsunami struck Chile — the second largest the world had seen in half a century. The coastal city of Constitucion was among the hardest hit: approximately 61% of the city's urban area was flooded by the tsunami, and the homes of roughly 1,260 families were damaged or destroyed. Over 500 people died, and about 80% of buildings were ruined.</w:t>
      </w:r>
    </w:p>
    <w:p>
      <w:pPr>
        <w:spacing w:after="100" w:before="60"/>
        <w:jc w:val="both"/>
      </w:pPr>
      <w:r>
        <w:rPr>
          <w:rFonts w:ascii="Arial" w:cs="Arial" w:eastAsia="Arial" w:hAnsi="Arial"/>
          <w:color w:val="2C2C2C"/>
          <w:sz w:val="22"/>
          <w:szCs w:val="22"/>
        </w:rPr>
        <w:t xml:space="preserve">Elemental was brought in as part of the post-disaster reconstruction effort, contributing to the Master Plan for Sustainable Reconstruction of Constitucion (PRES Constitucion) — a public-private partnership involving government agencies, the forestry company Arauco, and international consultants including Arup. Elemental designed the Villa Verde housing project, applying the same incremental model developed at Quinta Monroy. Each unit started at 57 m² and could reach up to 85 m² once residents completed the other half. The structural framework — including the sloped roof — was delivered almost complete, limiting uncontrolled vertical expansion that had been a problem at Quinta Monroy. Residents received workshops and manuals to guide their self-build work.</w:t>
      </w:r>
    </w:p>
    <w:p>
      <w:pPr>
        <w:spacing w:after="100" w:before="60"/>
        <w:jc w:val="both"/>
      </w:pPr>
      <w:r>
        <w:rPr>
          <w:rFonts w:ascii="Arial" w:cs="Arial" w:eastAsia="Arial" w:hAnsi="Arial"/>
          <w:color w:val="2C2C2C"/>
          <w:sz w:val="22"/>
          <w:szCs w:val="22"/>
        </w:rPr>
        <w:t xml:space="preserve">Villa Verde is now considered one of the most significant incremental housing projects worldwide. Resident Luis Enriquez, for example, completed his concrete walls, exterior cladding, and second-floor flooring with help from his wife and brother, using Elemental's provided materials guidance. The project demonstrated that the incremental model was transferable beyond its original context — it could function under disaster-recovery conditions, with a different client structure (corporate-public rather than purely governmental), and at a larger city scale.</w:t>
      </w:r>
    </w:p>
    <w:p>
      <w:pPr>
        <w:spacing w:after="120" w:before="40"/>
      </w:pPr>
      <w:r>
        <w:rPr>
          <w:rFonts w:ascii="Arial" w:cs="Arial" w:eastAsia="Arial" w:hAnsi="Arial"/>
          <w:i/>
          <w:iCs/>
          <w:color w:val="666666"/>
          <w:sz w:val="18"/>
          <w:szCs w:val="18"/>
        </w:rPr>
        <w:t xml:space="preserve">Source: 99% Invisible / Half a House; Arquitectura Viva; MDPI / Incremental Pathways; Redalyc</w:t>
      </w:r>
    </w:p>
    <w:p>
      <w:pPr>
        <w:spacing w:after="120" w:before="120"/>
      </w:pPr>
      <w:r>
        <w:t xml:space="preserve"/>
      </w:r>
    </w:p>
    <w:p>
      <w:pPr>
        <w:spacing w:after="80" w:before="280"/>
      </w:pPr>
      <w:r>
        <w:rPr>
          <w:rFonts w:ascii="Arial" w:cs="Arial" w:eastAsia="Arial" w:hAnsi="Arial"/>
          <w:b/>
          <w:bCs/>
          <w:color w:val="2E5090"/>
          <w:sz w:val="22"/>
          <w:szCs w:val="22"/>
        </w:rPr>
        <w:t xml:space="preserve">D3  </w:t>
      </w:r>
      <w:r>
        <w:rPr>
          <w:rFonts w:ascii="Arial" w:cs="Arial" w:eastAsia="Arial" w:hAnsi="Arial"/>
          <w:b/>
          <w:bCs/>
          <w:color w:val="1A1A1A"/>
          <w:sz w:val="22"/>
          <w:szCs w:val="22"/>
        </w:rPr>
        <w:t xml:space="preserve">Are there any criticisms of this model?</w:t>
      </w:r>
    </w:p>
    <w:p>
      <w:pPr>
        <w:spacing w:after="100" w:before="60"/>
        <w:jc w:val="both"/>
      </w:pPr>
      <w:r>
        <w:rPr>
          <w:rFonts w:ascii="Arial" w:cs="Arial" w:eastAsia="Arial" w:hAnsi="Arial"/>
          <w:color w:val="2C2C2C"/>
          <w:sz w:val="22"/>
          <w:szCs w:val="22"/>
        </w:rPr>
        <w:t xml:space="preserve">A balanced analysis of Quinta Monroy must acknowledge several substantive criticisms. The most prominent academic critique comes from researchers Camillo Boano and Francisco Vergara Perucich, who argue that the incremental housing strategy is a neoliberal economic mechanism that shifts the burden of housing completion onto low-income residents — integrating them into a capitalist property market through self-financing. They ask directly: 'Why should the poor receive a half-house instead of a proper one?' Chilean architecture professor Fabian Barros goes further, suggesting that the approach 'paradoxically reproduces what it tries to fight' — that providing half a house treats low-income residents as members of a separate social class who can be expected to live in unfinished, privacy-compromised conditions.</w:t>
      </w:r>
    </w:p>
    <w:p>
      <w:pPr>
        <w:spacing w:after="100" w:before="60"/>
        <w:jc w:val="both"/>
      </w:pPr>
      <w:r>
        <w:rPr>
          <w:rFonts w:ascii="Arial" w:cs="Arial" w:eastAsia="Arial" w:hAnsi="Arial"/>
          <w:color w:val="2C2C2C"/>
          <w:sz w:val="22"/>
          <w:szCs w:val="22"/>
        </w:rPr>
        <w:t xml:space="preserve">A 2020 research paper by academics at the Universities of Melbourne and Newcastle, studying Quinta Monroy fifteen years on, found significant evidence of unintended consequences. By 2017, nearly 31% of apartments had built structures encroaching onto shared courtyards; 49% cantilevered over public areas; and four units had added unauthorised third storeys. Many extensions used low-durability materials similar to the informal settlement that preceded the project. Windowless interior rooms, neighbour conflicts over boundary disputes, and progressive privatisation of communal spaces were documented. The researchers warned that without a plan to govern resident-led expansion post-construction, the site could revert to conditions resembling a slum.</w:t>
      </w:r>
    </w:p>
    <w:p>
      <w:pPr>
        <w:spacing w:after="100" w:before="60"/>
        <w:jc w:val="both"/>
      </w:pPr>
      <w:r>
        <w:rPr>
          <w:rFonts w:ascii="Arial" w:cs="Arial" w:eastAsia="Arial" w:hAnsi="Arial"/>
          <w:color w:val="2C2C2C"/>
          <w:sz w:val="22"/>
          <w:szCs w:val="22"/>
        </w:rPr>
        <w:t xml:space="preserve">A further structural critique concerns reproducibility. The Quinta Monroy model depends on: (1) available flat, affordable land within city boundaries; (2) Chile's unusually high level of government investment in housing subsidies; and (3) a political culture that treats housing as a basic right. Cities with severe land shortages, mountainous terrain, or weaker state housing programs — such as Caracas or Bogota — face fundamental barriers to replication. Even Aravena himself has expressed frustration, telling The Observer: 'It's still a failure. The mainstream has not been affected. Why not? We ask ourselves these questions every day.'</w:t>
      </w:r>
    </w:p>
    <w:p>
      <w:pPr>
        <w:spacing w:after="120" w:before="40"/>
      </w:pPr>
      <w:r>
        <w:rPr>
          <w:rFonts w:ascii="Arial" w:cs="Arial" w:eastAsia="Arial" w:hAnsi="Arial"/>
          <w:i/>
          <w:iCs/>
          <w:color w:val="666666"/>
          <w:sz w:val="18"/>
          <w:szCs w:val="18"/>
        </w:rPr>
        <w:t xml:space="preserve">Source: Wikipedia / Quinta Monroy; Dezeen (2025); New Republic (2016); O'Brien &amp; Carrasco (2020)</w:t>
      </w:r>
    </w:p>
    <w:p>
      <w:pPr>
        <w:spacing w:after="120" w:before="120"/>
      </w:pPr>
      <w:r>
        <w:t xml:space="preserve"/>
      </w:r>
    </w:p>
    <w:p>
      <w:pPr>
        <w:pBdr>
          <w:top w:val="single" w:color="CCCCCC" w:sz="4" w:space="8"/>
        </w:pBdr>
        <w:spacing w:before="480"/>
        <w:jc w:val="center"/>
      </w:pPr>
      <w:r>
        <w:rPr>
          <w:rFonts w:ascii="Arial" w:cs="Arial" w:eastAsia="Arial" w:hAnsi="Arial"/>
          <w:i/>
          <w:iCs/>
          <w:color w:val="AAAAAA"/>
          <w:sz w:val="16"/>
          <w:szCs w:val="16"/>
        </w:rPr>
        <w:t xml:space="preserve">IXDS 709 — Spring 2026  |  Ian Arnoldy + Yuchen  |  Research compiled with assistance from Claude (Anthropic)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5090"/>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2026-03-30T18:41:34.624Z</dcterms:created>
  <dcterms:modified xsi:type="dcterms:W3CDTF">2026-03-30T18:41:34.625Z</dcterms:modified>
</cp:coreProperties>
</file>

<file path=docProps/custom.xml><?xml version="1.0" encoding="utf-8"?>
<Properties xmlns="http://schemas.openxmlformats.org/officeDocument/2006/custom-properties" xmlns:vt="http://schemas.openxmlformats.org/officeDocument/2006/docPropsVTypes"/>
</file>