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D4D0" w14:textId="57410D33" w:rsidR="001E5D56" w:rsidRPr="001E5D56" w:rsidRDefault="000470E7" w:rsidP="001E5D56">
      <w:pPr>
        <w:jc w:val="center"/>
        <w:rPr>
          <w:b/>
          <w:bCs/>
          <w:sz w:val="32"/>
          <w:szCs w:val="32"/>
        </w:rPr>
      </w:pPr>
      <w:r w:rsidRPr="000470E7">
        <w:rPr>
          <w:b/>
          <w:bCs/>
          <w:sz w:val="28"/>
          <w:szCs w:val="28"/>
        </w:rPr>
        <w:t>SOLVENCIA ECONÓMICA Y FINANCIERA</w:t>
      </w:r>
      <w:r w:rsidR="001E5D56" w:rsidRPr="001E5D56">
        <w:rPr>
          <w:b/>
          <w:bCs/>
          <w:sz w:val="28"/>
          <w:szCs w:val="28"/>
        </w:rPr>
        <w:t>.</w:t>
      </w:r>
    </w:p>
    <w:p w14:paraId="09329EEC" w14:textId="6A853269" w:rsidR="000470E7" w:rsidRDefault="005E3AC4" w:rsidP="000470E7">
      <w:pPr>
        <w:rPr>
          <w:sz w:val="24"/>
          <w:szCs w:val="24"/>
        </w:rPr>
      </w:pPr>
      <w:r>
        <w:rPr>
          <w:b/>
          <w:bCs/>
          <w:sz w:val="24"/>
          <w:szCs w:val="24"/>
        </w:rPr>
        <w:t xml:space="preserve">1. </w:t>
      </w:r>
      <w:r w:rsidR="000470E7" w:rsidRPr="000470E7">
        <w:rPr>
          <w:b/>
          <w:bCs/>
          <w:sz w:val="24"/>
          <w:szCs w:val="24"/>
        </w:rPr>
        <w:t xml:space="preserve">Grupo o subgrupo de clasificación y categoría de clasificación del contrato </w:t>
      </w:r>
      <w:r w:rsidR="000470E7" w:rsidRPr="000470E7">
        <w:rPr>
          <w:sz w:val="24"/>
          <w:szCs w:val="24"/>
        </w:rPr>
        <w:t>(cumplimentar en todos los contratos</w:t>
      </w:r>
      <w:r w:rsidR="000470E7">
        <w:rPr>
          <w:sz w:val="24"/>
          <w:szCs w:val="24"/>
        </w:rPr>
        <w:t xml:space="preserve"> </w:t>
      </w:r>
      <w:r w:rsidR="000470E7" w:rsidRPr="000470E7">
        <w:rPr>
          <w:sz w:val="24"/>
          <w:szCs w:val="24"/>
        </w:rPr>
        <w:t>de servicios cuyo objeto esté incluido en el Anexo II del RGLCAP). Indicar ambas en todo caso.</w:t>
      </w:r>
    </w:p>
    <w:p w14:paraId="1F41A774" w14:textId="77777777" w:rsidR="00C63CEF" w:rsidRDefault="00C63CEF" w:rsidP="000470E7">
      <w:pPr>
        <w:rPr>
          <w:sz w:val="24"/>
          <w:szCs w:val="24"/>
        </w:rPr>
      </w:pPr>
    </w:p>
    <w:p w14:paraId="4F8C0990" w14:textId="6CBF44BA" w:rsidR="00C63CEF" w:rsidRDefault="00C63CEF" w:rsidP="00C63CEF">
      <w:pPr>
        <w:rPr>
          <w:sz w:val="16"/>
          <w:szCs w:val="16"/>
        </w:rPr>
      </w:pPr>
      <w:r w:rsidRPr="00C63CEF">
        <w:rPr>
          <w:sz w:val="16"/>
          <w:szCs w:val="16"/>
        </w:rPr>
        <w:t>Clasificación anterior a la entrada en vigor del RD 773/2015 / Clasificación posterior a la entrada en vigor del RD 773/2015</w:t>
      </w:r>
    </w:p>
    <w:p w14:paraId="00BC889D" w14:textId="77777777" w:rsidR="00C63CEF" w:rsidRPr="00C63CEF" w:rsidRDefault="00C63CEF" w:rsidP="00C63CEF">
      <w:pPr>
        <w:rPr>
          <w:sz w:val="16"/>
          <w:szCs w:val="16"/>
        </w:rPr>
      </w:pPr>
    </w:p>
    <w:p w14:paraId="4A57B121" w14:textId="376767AB" w:rsidR="00C63CEF" w:rsidRDefault="00C63CEF" w:rsidP="00C63CEF">
      <w:r>
        <w:t xml:space="preserve">Grupo </w:t>
      </w:r>
      <w:r>
        <w:tab/>
      </w:r>
      <w:r>
        <w:tab/>
        <w:t>Subgrupo</w:t>
      </w:r>
      <w:r>
        <w:tab/>
        <w:t xml:space="preserve"> Categoría </w:t>
      </w:r>
      <w:r>
        <w:tab/>
        <w:t xml:space="preserve">Grupo </w:t>
      </w:r>
      <w:r>
        <w:tab/>
      </w:r>
      <w:r>
        <w:tab/>
        <w:t xml:space="preserve">Subgrupo </w:t>
      </w:r>
      <w:r>
        <w:tab/>
        <w:t>Categoría</w:t>
      </w:r>
    </w:p>
    <w:p w14:paraId="71F2BDE2" w14:textId="40DA8782" w:rsidR="00C63CEF" w:rsidRDefault="005E3AC4" w:rsidP="00C63CEF">
      <w:pPr>
        <w:rPr>
          <w:sz w:val="16"/>
          <w:szCs w:val="16"/>
        </w:rPr>
      </w:pPr>
      <w:r>
        <w:t xml:space="preserve">    </w:t>
      </w:r>
      <w:r w:rsidR="00C63CEF">
        <w:t xml:space="preserve">V </w:t>
      </w:r>
      <w:r w:rsidR="00C63CEF">
        <w:tab/>
      </w:r>
      <w:r w:rsidR="00C63CEF">
        <w:tab/>
      </w:r>
      <w:r>
        <w:t xml:space="preserve">     </w:t>
      </w:r>
      <w:r w:rsidR="00C63CEF">
        <w:t xml:space="preserve">V2 </w:t>
      </w:r>
      <w:r w:rsidR="00C63CEF">
        <w:tab/>
      </w:r>
      <w:r w:rsidR="00C63CEF">
        <w:tab/>
      </w:r>
      <w:r>
        <w:t xml:space="preserve">       </w:t>
      </w:r>
      <w:r w:rsidR="00C63CEF">
        <w:t xml:space="preserve">C </w:t>
      </w:r>
      <w:r w:rsidR="00C63CEF">
        <w:tab/>
      </w:r>
      <w:r w:rsidR="00C63CEF">
        <w:tab/>
      </w:r>
      <w:r w:rsidR="00C63CEF" w:rsidRPr="00C63CEF">
        <w:rPr>
          <w:sz w:val="16"/>
          <w:szCs w:val="16"/>
        </w:rPr>
        <w:t>No se corresponde con ningún grupo del Real Decreto 773/2015</w:t>
      </w:r>
    </w:p>
    <w:p w14:paraId="12C1DF5F" w14:textId="77777777" w:rsidR="00C63CEF" w:rsidRPr="00C63CEF" w:rsidRDefault="00C63CEF" w:rsidP="00C63CEF"/>
    <w:p w14:paraId="09A3F8B5" w14:textId="27713FF6" w:rsidR="00C63CEF" w:rsidRDefault="005E3AC4" w:rsidP="00C63CEF">
      <w:pPr>
        <w:rPr>
          <w:sz w:val="24"/>
          <w:szCs w:val="24"/>
        </w:rPr>
      </w:pPr>
      <w:r>
        <w:rPr>
          <w:b/>
          <w:bCs/>
          <w:sz w:val="24"/>
          <w:szCs w:val="24"/>
        </w:rPr>
        <w:t xml:space="preserve">2. </w:t>
      </w:r>
      <w:r w:rsidR="00C63CEF" w:rsidRPr="00C63CEF">
        <w:rPr>
          <w:b/>
          <w:bCs/>
          <w:sz w:val="24"/>
          <w:szCs w:val="24"/>
        </w:rPr>
        <w:t xml:space="preserve">Criterios de selección relativos a la solvencia económica y financiera del empresario </w:t>
      </w:r>
      <w:r w:rsidR="00C63CEF" w:rsidRPr="00C63CEF">
        <w:rPr>
          <w:sz w:val="24"/>
          <w:szCs w:val="24"/>
        </w:rPr>
        <w:t>(cumplimentar en todos los</w:t>
      </w:r>
      <w:r w:rsidR="00C63CEF">
        <w:rPr>
          <w:sz w:val="24"/>
          <w:szCs w:val="24"/>
        </w:rPr>
        <w:t xml:space="preserve"> </w:t>
      </w:r>
      <w:r w:rsidR="00C63CEF" w:rsidRPr="00C63CEF">
        <w:rPr>
          <w:sz w:val="24"/>
          <w:szCs w:val="24"/>
        </w:rPr>
        <w:t>contratos de servicios). La solvencia económica y financiera se acreditará por el medio o los medios que se señalan a</w:t>
      </w:r>
      <w:r w:rsidR="00C63CEF">
        <w:rPr>
          <w:sz w:val="24"/>
          <w:szCs w:val="24"/>
        </w:rPr>
        <w:t xml:space="preserve"> </w:t>
      </w:r>
      <w:r w:rsidR="00C63CEF" w:rsidRPr="00C63CEF">
        <w:rPr>
          <w:sz w:val="24"/>
          <w:szCs w:val="24"/>
        </w:rPr>
        <w:t>continuación: (En caso de que sean varios los medios que se señalan, indicar si son alternativos o acumulativos).</w:t>
      </w:r>
    </w:p>
    <w:p w14:paraId="20A5650E" w14:textId="317829F5" w:rsidR="001F0BD7" w:rsidRPr="00D7055C" w:rsidRDefault="001F0BD7" w:rsidP="001F0BD7">
      <w:pPr>
        <w:rPr>
          <w:sz w:val="18"/>
          <w:szCs w:val="18"/>
        </w:rPr>
      </w:pPr>
      <w:r w:rsidRPr="00D7055C">
        <w:rPr>
          <w:b/>
          <w:bCs/>
          <w:sz w:val="18"/>
          <w:szCs w:val="18"/>
        </w:rPr>
        <w:t>x</w:t>
      </w:r>
      <w:r w:rsidRPr="00D7055C">
        <w:rPr>
          <w:sz w:val="18"/>
          <w:szCs w:val="18"/>
        </w:rPr>
        <w:t>1. Volumen anual de negocios de la persona licitadora o candidata, que referido al mejor ejercicio dentro de los tres últimos disponibles en función de las fechas de constitución o de inicio de actividades de la persona licitadora y de presentación de ofertas por importe mínimo de al menos una vez el valor medio del contrato, sin incluir IVA, lo que supone 479.635,2€.</w:t>
      </w:r>
    </w:p>
    <w:p w14:paraId="5C074D15" w14:textId="794E1C6C" w:rsidR="001F0BD7" w:rsidRPr="00D7055C" w:rsidRDefault="001F0BD7" w:rsidP="001F0BD7">
      <w:pPr>
        <w:rPr>
          <w:sz w:val="18"/>
          <w:szCs w:val="18"/>
        </w:rPr>
      </w:pPr>
      <w:r w:rsidRPr="00D7055C">
        <w:rPr>
          <w:sz w:val="18"/>
          <w:szCs w:val="18"/>
        </w:rPr>
        <w:t>El volumen anual de negocios de la persona licitadora se acreditará por medio de sus cuentas anuales aprobadas y depositadas en el Registro Mercantil, si el empresario estuviera inscrito en dicho registro, y en caso contrario por las depositadas en el registro oficial en que deba estar inscrito. Los empresarios individuales no inscritos en el Registro Mercantil acreditarán su volumen anual de negocios mediante sus libros de inventarios y cuentas anuales legalizados por el Registro Mercantil.</w:t>
      </w:r>
    </w:p>
    <w:p w14:paraId="4A89FE89" w14:textId="591ADF74" w:rsidR="001F0BD7" w:rsidRPr="00D7055C" w:rsidRDefault="001F0BD7" w:rsidP="001F0BD7">
      <w:pPr>
        <w:rPr>
          <w:sz w:val="18"/>
          <w:szCs w:val="18"/>
        </w:rPr>
      </w:pPr>
      <w:r w:rsidRPr="00D7055C">
        <w:rPr>
          <w:sz w:val="18"/>
          <w:szCs w:val="18"/>
        </w:rPr>
        <w:t>2. En el caso de profesionales que no tengan la condición de empresarios, justificación de la existencia de un seguro de</w:t>
      </w:r>
      <w:r w:rsidR="001B127E" w:rsidRPr="00D7055C">
        <w:rPr>
          <w:sz w:val="18"/>
          <w:szCs w:val="18"/>
        </w:rPr>
        <w:t xml:space="preserve"> </w:t>
      </w:r>
      <w:r w:rsidRPr="00D7055C">
        <w:rPr>
          <w:sz w:val="18"/>
          <w:szCs w:val="18"/>
        </w:rPr>
        <w:t>indemnización por riesgos profesionales, con indicación expresa de los riesgos cubiertos y de su plazo mínimo de vigencia o fecha</w:t>
      </w:r>
      <w:r w:rsidR="001B127E" w:rsidRPr="00D7055C">
        <w:rPr>
          <w:sz w:val="18"/>
          <w:szCs w:val="18"/>
        </w:rPr>
        <w:t xml:space="preserve"> </w:t>
      </w:r>
      <w:r w:rsidRPr="00D7055C">
        <w:rPr>
          <w:sz w:val="18"/>
          <w:szCs w:val="18"/>
        </w:rPr>
        <w:t xml:space="preserve">de vencimiento, por un importe mínimo de </w:t>
      </w:r>
      <w:r w:rsidR="00D67118">
        <w:rPr>
          <w:sz w:val="18"/>
          <w:szCs w:val="18"/>
        </w:rPr>
        <w:t>______</w:t>
      </w:r>
      <w:r w:rsidRPr="00D7055C">
        <w:rPr>
          <w:sz w:val="18"/>
          <w:szCs w:val="18"/>
        </w:rPr>
        <w:t xml:space="preserve"> euros.</w:t>
      </w:r>
    </w:p>
    <w:p w14:paraId="5DB73E82" w14:textId="7226493E" w:rsidR="001F0BD7" w:rsidRPr="00D7055C" w:rsidRDefault="001F0BD7" w:rsidP="001F0BD7">
      <w:pPr>
        <w:rPr>
          <w:sz w:val="18"/>
          <w:szCs w:val="18"/>
        </w:rPr>
      </w:pPr>
      <w:r w:rsidRPr="00D7055C">
        <w:rPr>
          <w:sz w:val="18"/>
          <w:szCs w:val="18"/>
        </w:rPr>
        <w:t>La acreditación de este requisito se efectuará por medio de certificado expedido por el asegurador, en el que consten los</w:t>
      </w:r>
      <w:r w:rsidR="001B127E" w:rsidRPr="00D7055C">
        <w:rPr>
          <w:sz w:val="18"/>
          <w:szCs w:val="18"/>
        </w:rPr>
        <w:t xml:space="preserve"> </w:t>
      </w:r>
      <w:r w:rsidRPr="00D7055C">
        <w:rPr>
          <w:sz w:val="18"/>
          <w:szCs w:val="18"/>
        </w:rPr>
        <w:t>importes y riesgos asegurados y la fecha de vencimiento del seguro, y mediante el documento de compromiso vinculante de</w:t>
      </w:r>
      <w:r w:rsidR="001B127E" w:rsidRPr="00D7055C">
        <w:rPr>
          <w:sz w:val="18"/>
          <w:szCs w:val="18"/>
        </w:rPr>
        <w:t xml:space="preserve"> </w:t>
      </w:r>
      <w:r w:rsidRPr="00D7055C">
        <w:rPr>
          <w:sz w:val="18"/>
          <w:szCs w:val="18"/>
        </w:rPr>
        <w:t>suscripción, prórroga o renovación del seguro, en los casos en que proceda.</w:t>
      </w:r>
    </w:p>
    <w:p w14:paraId="642894CB" w14:textId="1915A838" w:rsidR="001F0BD7" w:rsidRPr="00D7055C" w:rsidRDefault="001F0BD7" w:rsidP="001F0BD7">
      <w:pPr>
        <w:rPr>
          <w:sz w:val="18"/>
          <w:szCs w:val="18"/>
        </w:rPr>
      </w:pPr>
      <w:r w:rsidRPr="00D7055C">
        <w:rPr>
          <w:sz w:val="18"/>
          <w:szCs w:val="18"/>
        </w:rPr>
        <w:t>3. El patrimonio neto según el balance correspondiente al último ejercicio económico de las cuentas anuales aprobadas deberá</w:t>
      </w:r>
      <w:r w:rsidR="001B127E" w:rsidRPr="00D7055C">
        <w:rPr>
          <w:sz w:val="18"/>
          <w:szCs w:val="18"/>
        </w:rPr>
        <w:t xml:space="preserve"> </w:t>
      </w:r>
      <w:r w:rsidRPr="00D7055C">
        <w:rPr>
          <w:sz w:val="18"/>
          <w:szCs w:val="18"/>
        </w:rPr>
        <w:t>superar el 20 por 100 del importe del contrato.</w:t>
      </w:r>
    </w:p>
    <w:p w14:paraId="7E2EB980" w14:textId="5F53EA4F" w:rsidR="001F0BD7" w:rsidRPr="00D7055C" w:rsidRDefault="001F0BD7" w:rsidP="001F0BD7">
      <w:pPr>
        <w:rPr>
          <w:sz w:val="18"/>
          <w:szCs w:val="18"/>
        </w:rPr>
      </w:pPr>
      <w:r w:rsidRPr="00D7055C">
        <w:rPr>
          <w:sz w:val="18"/>
          <w:szCs w:val="18"/>
        </w:rPr>
        <w:t>El patrimonio neto de la persona licitadora se acreditará por medio de sus cuentas anuales aprobadas correspondientes al</w:t>
      </w:r>
      <w:r w:rsidR="001B127E" w:rsidRPr="00D7055C">
        <w:rPr>
          <w:sz w:val="18"/>
          <w:szCs w:val="18"/>
        </w:rPr>
        <w:t xml:space="preserve"> </w:t>
      </w:r>
      <w:r w:rsidRPr="00D7055C">
        <w:rPr>
          <w:sz w:val="18"/>
          <w:szCs w:val="18"/>
        </w:rPr>
        <w:t>último ejercicio para el que esté vencida la obligación de aprobar las cuentas anuales, y depositadas en el Registro Mercantil u</w:t>
      </w:r>
      <w:r w:rsidR="001B127E" w:rsidRPr="00D7055C">
        <w:rPr>
          <w:sz w:val="18"/>
          <w:szCs w:val="18"/>
        </w:rPr>
        <w:t xml:space="preserve"> </w:t>
      </w:r>
      <w:r w:rsidRPr="00D7055C">
        <w:rPr>
          <w:sz w:val="18"/>
          <w:szCs w:val="18"/>
        </w:rPr>
        <w:t>oficial que corresponda; si no lo estuvieran, deben presentarlas acompañadas de la certificación de su aprobación por el</w:t>
      </w:r>
      <w:r w:rsidR="001B127E" w:rsidRPr="00D7055C">
        <w:rPr>
          <w:sz w:val="18"/>
          <w:szCs w:val="18"/>
        </w:rPr>
        <w:t xml:space="preserve"> </w:t>
      </w:r>
      <w:r w:rsidRPr="00D7055C">
        <w:rPr>
          <w:sz w:val="18"/>
          <w:szCs w:val="18"/>
        </w:rPr>
        <w:t>órgano de administración competente. Los empresarios individuales no inscritos en el Registro Mercantil deberán presentar</w:t>
      </w:r>
      <w:r w:rsidR="001B127E" w:rsidRPr="00D7055C">
        <w:rPr>
          <w:sz w:val="18"/>
          <w:szCs w:val="18"/>
        </w:rPr>
        <w:t xml:space="preserve"> </w:t>
      </w:r>
      <w:r w:rsidRPr="00D7055C">
        <w:rPr>
          <w:sz w:val="18"/>
          <w:szCs w:val="18"/>
        </w:rPr>
        <w:t>sus libros de inventarios y cuentas anuales legalizados por el Registro Mercantil.</w:t>
      </w:r>
    </w:p>
    <w:p w14:paraId="572428CA" w14:textId="035941B8" w:rsidR="001F0BD7" w:rsidRPr="00D7055C" w:rsidRDefault="001F0BD7" w:rsidP="001F0BD7">
      <w:pPr>
        <w:rPr>
          <w:sz w:val="18"/>
          <w:szCs w:val="18"/>
        </w:rPr>
      </w:pPr>
      <w:r w:rsidRPr="00D7055C">
        <w:rPr>
          <w:sz w:val="18"/>
          <w:szCs w:val="18"/>
        </w:rPr>
        <w:t>Otro</w:t>
      </w:r>
      <w:r w:rsidR="001B127E" w:rsidRPr="00D7055C">
        <w:rPr>
          <w:sz w:val="18"/>
          <w:szCs w:val="18"/>
        </w:rPr>
        <w:t>s</w:t>
      </w:r>
      <w:r w:rsidRPr="00D7055C">
        <w:rPr>
          <w:sz w:val="18"/>
          <w:szCs w:val="18"/>
        </w:rPr>
        <w:t xml:space="preserve"> medios de prueba de la solvencia económica y financiera distintos de los previstos en los apartados anteriores (sólo en</w:t>
      </w:r>
      <w:r w:rsidR="001B127E" w:rsidRPr="00D7055C">
        <w:rPr>
          <w:sz w:val="18"/>
          <w:szCs w:val="18"/>
        </w:rPr>
        <w:t xml:space="preserve"> </w:t>
      </w:r>
      <w:r w:rsidRPr="00D7055C">
        <w:rPr>
          <w:sz w:val="18"/>
          <w:szCs w:val="18"/>
        </w:rPr>
        <w:t>caso de contratos no sujetos a regulación armonizada):</w:t>
      </w:r>
    </w:p>
    <w:p w14:paraId="0C0C943B" w14:textId="6CBFE4F4" w:rsidR="001E5D56" w:rsidRPr="00D7055C" w:rsidRDefault="001F0BD7" w:rsidP="001F0BD7">
      <w:pPr>
        <w:rPr>
          <w:sz w:val="18"/>
          <w:szCs w:val="18"/>
        </w:rPr>
      </w:pPr>
      <w:r w:rsidRPr="00D7055C">
        <w:rPr>
          <w:sz w:val="18"/>
          <w:szCs w:val="18"/>
        </w:rPr>
        <w:t>NOTA: En el caso de que el órgano de contratación no concrete ninguno de los anteriores, el criterio será el volumen anual de</w:t>
      </w:r>
      <w:r w:rsidR="001B127E" w:rsidRPr="00D7055C">
        <w:rPr>
          <w:sz w:val="18"/>
          <w:szCs w:val="18"/>
        </w:rPr>
        <w:t xml:space="preserve"> </w:t>
      </w:r>
      <w:r w:rsidRPr="00D7055C">
        <w:rPr>
          <w:sz w:val="18"/>
          <w:szCs w:val="18"/>
        </w:rPr>
        <w:t>negocios.</w:t>
      </w:r>
      <w:r w:rsidR="001B127E" w:rsidRPr="00D7055C">
        <w:rPr>
          <w:sz w:val="18"/>
          <w:szCs w:val="18"/>
        </w:rPr>
        <w:t xml:space="preserve"> </w:t>
      </w:r>
      <w:r w:rsidRPr="00D7055C">
        <w:rPr>
          <w:sz w:val="18"/>
          <w:szCs w:val="18"/>
        </w:rPr>
        <w:t>No obstante, en los contratos cuyo objeto consista en servicios profesionales, en lugar del volumen anual de negocio,</w:t>
      </w:r>
      <w:r w:rsidR="001B127E" w:rsidRPr="00D7055C">
        <w:rPr>
          <w:sz w:val="18"/>
          <w:szCs w:val="18"/>
        </w:rPr>
        <w:t xml:space="preserve"> </w:t>
      </w:r>
      <w:r w:rsidRPr="00D7055C">
        <w:rPr>
          <w:sz w:val="18"/>
          <w:szCs w:val="18"/>
        </w:rPr>
        <w:t>la solvencia económica y financiera se podrá acreditar mediante la disposición de un seguro de indemnización por riesgos</w:t>
      </w:r>
      <w:r w:rsidR="001B127E" w:rsidRPr="00D7055C">
        <w:rPr>
          <w:sz w:val="18"/>
          <w:szCs w:val="18"/>
        </w:rPr>
        <w:t xml:space="preserve"> </w:t>
      </w:r>
      <w:r w:rsidRPr="00D7055C">
        <w:rPr>
          <w:sz w:val="18"/>
          <w:szCs w:val="18"/>
        </w:rPr>
        <w:t>profesionales en los términos establecidos en el artículo 87.3 de la LCSP</w:t>
      </w:r>
      <w:r w:rsidR="001B127E" w:rsidRPr="00D7055C">
        <w:rPr>
          <w:sz w:val="18"/>
          <w:szCs w:val="18"/>
        </w:rPr>
        <w:t>.</w:t>
      </w:r>
    </w:p>
    <w:sectPr w:rsidR="001E5D56" w:rsidRPr="00D705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79"/>
    <w:rsid w:val="000470E7"/>
    <w:rsid w:val="000B2585"/>
    <w:rsid w:val="001B127E"/>
    <w:rsid w:val="001E5D56"/>
    <w:rsid w:val="001F0BD7"/>
    <w:rsid w:val="00202299"/>
    <w:rsid w:val="004E1537"/>
    <w:rsid w:val="005E3AC4"/>
    <w:rsid w:val="007B079E"/>
    <w:rsid w:val="00987345"/>
    <w:rsid w:val="00C63CEF"/>
    <w:rsid w:val="00D53A79"/>
    <w:rsid w:val="00D67118"/>
    <w:rsid w:val="00D7055C"/>
    <w:rsid w:val="00EB37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DF45"/>
  <w15:chartTrackingRefBased/>
  <w15:docId w15:val="{E5A098C1-C67D-4208-9FD7-249E08D4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5D56"/>
    <w:rPr>
      <w:color w:val="0563C1" w:themeColor="hyperlink"/>
      <w:u w:val="single"/>
    </w:rPr>
  </w:style>
  <w:style w:type="character" w:styleId="Mencinsinresolver">
    <w:name w:val="Unresolved Mention"/>
    <w:basedOn w:val="Fuentedeprrafopredeter"/>
    <w:uiPriority w:val="99"/>
    <w:semiHidden/>
    <w:unhideWhenUsed/>
    <w:rsid w:val="001E5D56"/>
    <w:rPr>
      <w:color w:val="605E5C"/>
      <w:shd w:val="clear" w:color="auto" w:fill="E1DFDD"/>
    </w:rPr>
  </w:style>
  <w:style w:type="paragraph" w:styleId="Prrafodelista">
    <w:name w:val="List Paragraph"/>
    <w:basedOn w:val="Normal"/>
    <w:uiPriority w:val="34"/>
    <w:qFormat/>
    <w:rsid w:val="005E3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 muertos padentro</dc:creator>
  <cp:keywords/>
  <dc:description/>
  <cp:lastModifiedBy>Tus muertos padentro</cp:lastModifiedBy>
  <cp:revision>11</cp:revision>
  <dcterms:created xsi:type="dcterms:W3CDTF">2020-12-29T13:28:00Z</dcterms:created>
  <dcterms:modified xsi:type="dcterms:W3CDTF">2021-01-07T17:04:00Z</dcterms:modified>
</cp:coreProperties>
</file>