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0E2A47"/>
          <w:sz w:val="38"/>
        </w:rPr>
        <w:t>SubSplit — Product Specification</w:t>
      </w:r>
    </w:p>
    <w:p>
      <w:r>
        <w:rPr>
          <w:rFonts w:ascii="Calibri" w:hAnsi="Calibri" w:eastAsia="Calibri"/>
          <w:b/>
          <w:sz w:val="20"/>
        </w:rPr>
        <w:t>Version</w:t>
      </w:r>
      <w:r>
        <w:rPr>
          <w:rFonts w:ascii="Calibri" w:hAnsi="Calibri" w:eastAsia="Calibri"/>
          <w:b w:val="0"/>
          <w:sz w:val="20"/>
        </w:rPr>
        <w:t xml:space="preserve"> 1.0 · </w:t>
      </w:r>
      <w:r>
        <w:rPr>
          <w:rFonts w:ascii="Calibri" w:hAnsi="Calibri" w:eastAsia="Calibri"/>
          <w:b/>
          <w:sz w:val="20"/>
        </w:rPr>
        <w:t>November 2026</w:t>
      </w:r>
      <w:r>
        <w:rPr>
          <w:rFonts w:ascii="Calibri" w:hAnsi="Calibri" w:eastAsia="Calibri"/>
          <w:b w:val="0"/>
          <w:sz w:val="20"/>
        </w:rPr>
        <w:t xml:space="preserve"> · </w:t>
      </w:r>
      <w:r>
        <w:rPr>
          <w:rFonts w:ascii="Calibri" w:hAnsi="Calibri" w:eastAsia="Calibri"/>
          <w:b/>
          <w:sz w:val="20"/>
        </w:rPr>
        <w:t>DOTE 6751 Database Systems · Group Project</w:t>
      </w:r>
    </w:p>
    <w:p>
      <w:pPr>
        <w:keepNext/>
        <w:spacing w:before="280" w:after="80"/>
      </w:pPr>
      <w:r>
        <w:rPr>
          <w:rFonts w:ascii="Calibri" w:hAnsi="Calibri" w:eastAsia="Calibri"/>
          <w:b/>
          <w:color w:val="0E2A47"/>
          <w:sz w:val="28"/>
        </w:rPr>
        <w:t>1. One line</w:t>
      </w:r>
    </w:p>
    <w:p>
      <w:r>
        <w:rPr>
          <w:rFonts w:ascii="Calibri" w:hAnsi="Calibri" w:eastAsia="Calibri"/>
          <w:b w:val="0"/>
          <w:sz w:val="20"/>
        </w:rPr>
        <w:t>SubSplit is a subscription-sharing platform with escrow: it opens the six-seat family discount to people who are not a family.</w:t>
      </w:r>
    </w:p>
    <w:p>
      <w:pPr>
        <w:keepNext/>
        <w:spacing w:before="280" w:after="80"/>
      </w:pPr>
      <w:r>
        <w:rPr>
          <w:rFonts w:ascii="Calibri" w:hAnsi="Calibri" w:eastAsia="Calibri"/>
          <w:b/>
          <w:color w:val="0E2A47"/>
          <w:sz w:val="28"/>
        </w:rPr>
        <w:t>2. Vision</w:t>
      </w:r>
    </w:p>
    <w:p>
      <w:r>
        <w:rPr>
          <w:rFonts w:ascii="Calibri" w:hAnsi="Calibri" w:eastAsia="Calibri"/>
          <w:b w:val="0"/>
          <w:sz w:val="20"/>
        </w:rPr>
        <w:t>Anyone should be able to buy a service at the household price, without that discount depending on the other person's good character.</w:t>
      </w:r>
    </w:p>
    <w:p>
      <w:r>
        <w:rPr>
          <w:rFonts w:ascii="Calibri" w:hAnsi="Calibri" w:eastAsia="Calibri"/>
          <w:b w:val="0"/>
          <w:sz w:val="20"/>
        </w:rPr>
        <w:t>Three beliefs sit under it:</w:t>
      </w:r>
    </w:p>
    <w:p>
      <w:pPr>
        <w:pStyle w:val="ListNumber"/>
        <w:spacing w:after="60" w:line="300" w:lineRule="exact"/>
      </w:pPr>
      <w:r>
        <w:rPr>
          <w:rFonts w:ascii="Calibri" w:hAnsi="Calibri" w:eastAsia="Calibri"/>
          <w:b/>
          <w:sz w:val="20"/>
        </w:rPr>
        <w:t>The discount is real; the trust is missing.</w:t>
      </w:r>
      <w:r>
        <w:rPr>
          <w:rFonts w:ascii="Calibri" w:hAnsi="Calibri" w:eastAsia="Calibri"/>
          <w:b w:val="0"/>
          <w:sz w:val="20"/>
        </w:rPr>
        <w:t xml:space="preserve"> A family plan prices a seat at roughly one sixth of the individual rate. That gap is not going away.</w:t>
      </w:r>
    </w:p>
    <w:p>
      <w:pPr>
        <w:pStyle w:val="ListNumber"/>
        <w:spacing w:after="60" w:line="300" w:lineRule="exact"/>
      </w:pPr>
      <w:r>
        <w:rPr>
          <w:rFonts w:ascii="Calibri" w:hAnsi="Calibri" w:eastAsia="Calibri"/>
          <w:b/>
          <w:sz w:val="20"/>
        </w:rPr>
        <w:t>The household cannot solve it.</w:t>
      </w:r>
      <w:r>
        <w:rPr>
          <w:rFonts w:ascii="Calibri" w:hAnsi="Calibri" w:eastAsia="Calibri"/>
          <w:b w:val="0"/>
          <w:sz w:val="20"/>
        </w:rPr>
        <w:t xml:space="preserve"> Nobody has five friends who happen to want the same service for the same twelve months, and a verbal promise between strangers has no force.</w:t>
      </w:r>
    </w:p>
    <w:p>
      <w:pPr>
        <w:pStyle w:val="ListNumber"/>
        <w:spacing w:after="60" w:line="300" w:lineRule="exact"/>
      </w:pPr>
      <w:r>
        <w:rPr>
          <w:rFonts w:ascii="Calibri" w:hAnsi="Calibri" w:eastAsia="Calibri"/>
          <w:b/>
          <w:sz w:val="20"/>
        </w:rPr>
        <w:t>The missing piece is an institution, not a better chat app.</w:t>
      </w:r>
      <w:r>
        <w:rPr>
          <w:rFonts w:ascii="Calibri" w:hAnsi="Calibri" w:eastAsia="Calibri"/>
          <w:b w:val="0"/>
          <w:sz w:val="20"/>
        </w:rPr>
        <w:t xml:space="preserve"> Specifically: custody of the money, plus a verifiable record of what each side did.</w:t>
      </w:r>
    </w:p>
    <w:p>
      <w:pPr>
        <w:keepNext/>
        <w:spacing w:before="280" w:after="80"/>
      </w:pPr>
      <w:r>
        <w:rPr>
          <w:rFonts w:ascii="Calibri" w:hAnsi="Calibri" w:eastAsia="Calibri"/>
          <w:b/>
          <w:color w:val="0E2A47"/>
          <w:sz w:val="28"/>
        </w:rPr>
        <w:t>3. The problem and the existing substitutes</w:t>
      </w:r>
    </w:p>
    <w:p>
      <w:r>
        <w:rPr>
          <w:rFonts w:ascii="Calibri" w:hAnsi="Calibri" w:eastAsia="Calibri"/>
          <w:b/>
          <w:sz w:val="20"/>
        </w:rPr>
        <w:t>Problem.</w:t>
      </w:r>
      <w:r>
        <w:rPr>
          <w:rFonts w:ascii="Calibri" w:hAnsi="Calibri" w:eastAsia="Calibri"/>
          <w:b w:val="0"/>
          <w:sz w:val="20"/>
        </w:rPr>
        <w:t xml:space="preserve"> Family plans are priced for six. Most subscribers are one. So people assemble group buys on social media.</w:t>
      </w:r>
    </w:p>
    <w:p>
      <w:r>
        <w:rPr>
          <w:rFonts w:ascii="Calibri" w:hAnsi="Calibri" w:eastAsia="Calibri"/>
          <w:b/>
          <w:sz w:val="20"/>
        </w:rPr>
        <w:t>Why the substitutes fail:</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Substitute</w:t>
            </w:r>
          </w:p>
        </w:tc>
        <w:tc>
          <w:tcPr>
            <w:tcW w:type="dxa" w:w="3024"/>
            <w:shd w:val="clear" w:color="auto" w:fill="0E2A47"/>
          </w:tcPr>
          <w:p>
            <w:r>
              <w:rPr>
                <w:b/>
              </w:rPr>
            </w:r>
            <w:r>
              <w:rPr>
                <w:rFonts w:ascii="Calibri" w:hAnsi="Calibri" w:eastAsia="Calibri"/>
                <w:b/>
                <w:color w:val="FFFFFF"/>
                <w:sz w:val="17"/>
              </w:rPr>
              <w:t>Apparent benefit</w:t>
            </w:r>
          </w:p>
        </w:tc>
        <w:tc>
          <w:tcPr>
            <w:tcW w:type="dxa" w:w="3024"/>
            <w:shd w:val="clear" w:color="auto" w:fill="0E2A47"/>
          </w:tcPr>
          <w:p>
            <w:r>
              <w:rPr>
                <w:b/>
              </w:rPr>
            </w:r>
            <w:r>
              <w:rPr>
                <w:rFonts w:ascii="Calibri" w:hAnsi="Calibri" w:eastAsia="Calibri"/>
                <w:b/>
                <w:color w:val="FFFFFF"/>
                <w:sz w:val="17"/>
              </w:rPr>
              <w:t>Where it breaks</w:t>
            </w:r>
          </w:p>
        </w:tc>
      </w:tr>
      <w:tr>
        <w:tc>
          <w:tcPr>
            <w:tcW w:type="dxa" w:w="3024"/>
          </w:tcPr>
          <w:p>
            <w:r/>
            <w:r>
              <w:rPr>
                <w:rFonts w:ascii="Calibri" w:hAnsi="Calibri" w:eastAsia="Calibri"/>
                <w:b w:val="0"/>
                <w:sz w:val="17"/>
              </w:rPr>
              <w:t>Group buy in a chat group</w:t>
            </w:r>
          </w:p>
        </w:tc>
        <w:tc>
          <w:tcPr>
            <w:tcW w:type="dxa" w:w="3024"/>
          </w:tcPr>
          <w:p>
            <w:r/>
            <w:r>
              <w:rPr>
                <w:rFonts w:ascii="Calibri" w:hAnsi="Calibri" w:eastAsia="Calibri"/>
                <w:b w:val="0"/>
                <w:sz w:val="17"/>
              </w:rPr>
              <w:t>Free, fast</w:t>
            </w:r>
          </w:p>
        </w:tc>
        <w:tc>
          <w:tcPr>
            <w:tcW w:type="dxa" w:w="3024"/>
          </w:tcPr>
          <w:p>
            <w:r/>
            <w:r>
              <w:rPr>
                <w:rFonts w:ascii="Calibri" w:hAnsi="Calibri" w:eastAsia="Calibri"/>
                <w:b w:val="0"/>
                <w:sz w:val="17"/>
              </w:rPr>
              <w:t>The host changes the password or disappears; a year of prepayment has no route back. The host, in turn, spends the first week of every month chasing five small transfers.</w:t>
            </w:r>
          </w:p>
        </w:tc>
      </w:tr>
      <w:tr>
        <w:tc>
          <w:tcPr>
            <w:tcW w:type="dxa" w:w="3024"/>
          </w:tcPr>
          <w:p>
            <w:r/>
            <w:r>
              <w:rPr>
                <w:rFonts w:ascii="Calibri" w:hAnsi="Calibri" w:eastAsia="Calibri"/>
                <w:b w:val="0"/>
                <w:sz w:val="17"/>
              </w:rPr>
              <w:t>Reseller / top-up shop</w:t>
            </w:r>
          </w:p>
        </w:tc>
        <w:tc>
          <w:tcPr>
            <w:tcW w:type="dxa" w:w="3024"/>
          </w:tcPr>
          <w:p>
            <w:r/>
            <w:r>
              <w:rPr>
                <w:rFonts w:ascii="Calibri" w:hAnsi="Calibri" w:eastAsia="Calibri"/>
                <w:b w:val="0"/>
                <w:sz w:val="17"/>
              </w:rPr>
              <w:t>A platform in the middle</w:t>
            </w:r>
          </w:p>
        </w:tc>
        <w:tc>
          <w:tcPr>
            <w:tcW w:type="dxa" w:w="3024"/>
          </w:tcPr>
          <w:p>
            <w:r/>
            <w:r>
              <w:rPr>
                <w:rFonts w:ascii="Calibri" w:hAnsi="Calibri" w:eastAsia="Calibri"/>
                <w:b w:val="0"/>
                <w:sz w:val="17"/>
              </w:rPr>
              <w:t>It is account trading, against the provider's terms, and can be shut down at any time. There is no notion of a seat.</w:t>
            </w:r>
          </w:p>
        </w:tc>
      </w:tr>
      <w:tr>
        <w:tc>
          <w:tcPr>
            <w:tcW w:type="dxa" w:w="3024"/>
          </w:tcPr>
          <w:p>
            <w:r/>
            <w:r>
              <w:rPr>
                <w:rFonts w:ascii="Calibri" w:hAnsi="Calibri" w:eastAsia="Calibri"/>
                <w:b w:val="0"/>
                <w:sz w:val="17"/>
              </w:rPr>
              <w:t>Sharing with family</w:t>
            </w:r>
          </w:p>
        </w:tc>
        <w:tc>
          <w:tcPr>
            <w:tcW w:type="dxa" w:w="3024"/>
          </w:tcPr>
          <w:p>
            <w:r/>
            <w:r>
              <w:rPr>
                <w:rFonts w:ascii="Calibri" w:hAnsi="Calibri" w:eastAsia="Calibri"/>
                <w:b w:val="0"/>
                <w:sz w:val="17"/>
              </w:rPr>
              <w:t>Zero trust cost</w:t>
            </w:r>
          </w:p>
        </w:tc>
        <w:tc>
          <w:tcPr>
            <w:tcW w:type="dxa" w:w="3024"/>
          </w:tcPr>
          <w:p>
            <w:r/>
            <w:r>
              <w:rPr>
                <w:rFonts w:ascii="Calibri" w:hAnsi="Calibri" w:eastAsia="Calibri"/>
                <w:b w:val="0"/>
                <w:sz w:val="17"/>
              </w:rPr>
              <w:t>Tiny reach — and it stops working the moment there are not six of you.</w:t>
            </w:r>
          </w:p>
        </w:tc>
      </w:tr>
      <w:tr>
        <w:tc>
          <w:tcPr>
            <w:tcW w:type="dxa" w:w="3024"/>
          </w:tcPr>
          <w:p>
            <w:r/>
            <w:r>
              <w:rPr>
                <w:rFonts w:ascii="Calibri" w:hAnsi="Calibri" w:eastAsia="Calibri"/>
                <w:b w:val="0"/>
                <w:sz w:val="17"/>
              </w:rPr>
              <w:t>Buying individually</w:t>
            </w:r>
          </w:p>
        </w:tc>
        <w:tc>
          <w:tcPr>
            <w:tcW w:type="dxa" w:w="3024"/>
          </w:tcPr>
          <w:p>
            <w:r/>
            <w:r>
              <w:rPr>
                <w:rFonts w:ascii="Calibri" w:hAnsi="Calibri" w:eastAsia="Calibri"/>
                <w:b w:val="0"/>
                <w:sz w:val="17"/>
              </w:rPr>
              <w:t>Simplest</w:t>
            </w:r>
          </w:p>
        </w:tc>
        <w:tc>
          <w:tcPr>
            <w:tcW w:type="dxa" w:w="3024"/>
          </w:tcPr>
          <w:p>
            <w:r/>
            <w:r>
              <w:rPr>
                <w:rFonts w:ascii="Calibri" w:hAnsi="Calibri" w:eastAsia="Calibri"/>
                <w:b w:val="0"/>
                <w:sz w:val="17"/>
              </w:rPr>
              <w:t>Costs more than twice as much.</w:t>
            </w:r>
          </w:p>
        </w:tc>
      </w:tr>
    </w:tbl>
    <w:p>
      <w:pPr>
        <w:spacing w:after="40"/>
      </w:pPr>
    </w:p>
    <w:p>
      <w:r>
        <w:rPr>
          <w:rFonts w:ascii="Calibri" w:hAnsi="Calibri" w:eastAsia="Calibri"/>
          <w:b/>
          <w:sz w:val="20"/>
        </w:rPr>
        <w:t>The common gap:</w:t>
      </w:r>
      <w:r>
        <w:rPr>
          <w:rFonts w:ascii="Calibri" w:hAnsi="Calibri" w:eastAsia="Calibri"/>
          <w:b w:val="0"/>
          <w:sz w:val="20"/>
        </w:rPr>
        <w:t xml:space="preserve"> money is paid once, service is delivered monthly, and nothing in between guarantees that the person who paid keeps access. SubSplit occupies exactly that gap.</w:t>
      </w:r>
    </w:p>
    <w:p>
      <w:pPr>
        <w:keepNext/>
        <w:spacing w:before="280" w:after="80"/>
      </w:pPr>
      <w:r>
        <w:rPr>
          <w:rFonts w:ascii="Calibri" w:hAnsi="Calibri" w:eastAsia="Calibri"/>
          <w:b/>
          <w:color w:val="0E2A47"/>
          <w:sz w:val="28"/>
        </w:rPr>
        <w:t>4. Users and scenarios</w:t>
      </w:r>
    </w:p>
    <w:tbl>
      <w:tblPr>
        <w:tblStyle w:val="TableGrid"/>
        <w:tblW w:type="auto" w:w="0"/>
        <w:jc w:val="center"/>
        <w:tblLayout w:type="fixed"/>
        <w:tblLook w:firstColumn="1" w:firstRow="1" w:lastColumn="0" w:lastRow="0" w:noHBand="0" w:noVBand="1" w:val="04A0"/>
        <w:tblLayout w:type="fixed"/>
      </w:tblPr>
      <w:tblGrid>
        <w:gridCol w:w="2268"/>
        <w:gridCol w:w="2268"/>
        <w:gridCol w:w="2268"/>
        <w:gridCol w:w="2268"/>
      </w:tblGrid>
      <w:tr>
        <w:tc>
          <w:tcPr>
            <w:tcW w:type="dxa" w:w="2268"/>
            <w:shd w:val="clear" w:color="auto" w:fill="0E2A47"/>
          </w:tcPr>
          <w:p>
            <w:r>
              <w:rPr>
                <w:b/>
              </w:rPr>
            </w:r>
            <w:r>
              <w:rPr>
                <w:rFonts w:ascii="Calibri" w:hAnsi="Calibri" w:eastAsia="Calibri"/>
                <w:b/>
                <w:color w:val="FFFFFF"/>
                <w:sz w:val="17"/>
              </w:rPr>
              <w:t>Role</w:t>
            </w:r>
          </w:p>
        </w:tc>
        <w:tc>
          <w:tcPr>
            <w:tcW w:type="dxa" w:w="2268"/>
            <w:shd w:val="clear" w:color="auto" w:fill="0E2A47"/>
          </w:tcPr>
          <w:p>
            <w:r>
              <w:rPr>
                <w:b/>
              </w:rPr>
            </w:r>
            <w:r>
              <w:rPr>
                <w:rFonts w:ascii="Calibri" w:hAnsi="Calibri" w:eastAsia="Calibri"/>
                <w:b/>
                <w:color w:val="FFFFFF"/>
                <w:sz w:val="17"/>
              </w:rPr>
              <w:t>Who</w:t>
            </w:r>
          </w:p>
        </w:tc>
        <w:tc>
          <w:tcPr>
            <w:tcW w:type="dxa" w:w="2268"/>
            <w:shd w:val="clear" w:color="auto" w:fill="0E2A47"/>
          </w:tcPr>
          <w:p>
            <w:r>
              <w:rPr>
                <w:b/>
              </w:rPr>
            </w:r>
            <w:r>
              <w:rPr>
                <w:rFonts w:ascii="Calibri" w:hAnsi="Calibri" w:eastAsia="Calibri"/>
                <w:b/>
                <w:color w:val="FFFFFF"/>
                <w:sz w:val="17"/>
              </w:rPr>
              <w:t>What they fear</w:t>
            </w:r>
          </w:p>
        </w:tc>
        <w:tc>
          <w:tcPr>
            <w:tcW w:type="dxa" w:w="2268"/>
            <w:shd w:val="clear" w:color="auto" w:fill="0E2A47"/>
          </w:tcPr>
          <w:p>
            <w:r>
              <w:rPr>
                <w:b/>
              </w:rPr>
            </w:r>
            <w:r>
              <w:rPr>
                <w:rFonts w:ascii="Calibri" w:hAnsi="Calibri" w:eastAsia="Calibri"/>
                <w:b/>
                <w:color w:val="FFFFFF"/>
                <w:sz w:val="17"/>
              </w:rPr>
              <w:t>What the platform gives them</w:t>
            </w:r>
          </w:p>
        </w:tc>
      </w:tr>
      <w:tr>
        <w:tc>
          <w:tcPr>
            <w:tcW w:type="dxa" w:w="2268"/>
          </w:tcPr>
          <w:p>
            <w:r/>
            <w:r>
              <w:rPr>
                <w:rFonts w:ascii="Calibri" w:hAnsi="Calibri" w:eastAsia="Calibri"/>
                <w:b/>
                <w:sz w:val="17"/>
              </w:rPr>
              <w:t>Member</w:t>
            </w:r>
          </w:p>
        </w:tc>
        <w:tc>
          <w:tcPr>
            <w:tcW w:type="dxa" w:w="2268"/>
          </w:tcPr>
          <w:p>
            <w:r/>
            <w:r>
              <w:rPr>
                <w:rFonts w:ascii="Calibri" w:hAnsi="Calibri" w:eastAsia="Calibri"/>
                <w:b w:val="0"/>
                <w:sz w:val="17"/>
              </w:rPr>
              <w:t>A student living alone, a young professional</w:t>
            </w:r>
          </w:p>
        </w:tc>
        <w:tc>
          <w:tcPr>
            <w:tcW w:type="dxa" w:w="2268"/>
          </w:tcPr>
          <w:p>
            <w:r/>
            <w:r>
              <w:rPr>
                <w:rFonts w:ascii="Calibri" w:hAnsi="Calibri" w:eastAsia="Calibri"/>
                <w:b w:val="0"/>
                <w:sz w:val="17"/>
              </w:rPr>
              <w:t>Paying for a year and being removed in month two</w:t>
            </w:r>
          </w:p>
        </w:tc>
        <w:tc>
          <w:tcPr>
            <w:tcW w:type="dxa" w:w="2268"/>
          </w:tcPr>
          <w:p>
            <w:r/>
            <w:r>
              <w:rPr>
                <w:rFonts w:ascii="Calibri" w:hAnsi="Calibri" w:eastAsia="Calibri"/>
                <w:b w:val="0"/>
                <w:sz w:val="17"/>
              </w:rPr>
              <w:t>Money in escrow, released monthly; a complaint freezes the balance</w:t>
            </w:r>
          </w:p>
        </w:tc>
      </w:tr>
      <w:tr>
        <w:tc>
          <w:tcPr>
            <w:tcW w:type="dxa" w:w="2268"/>
          </w:tcPr>
          <w:p>
            <w:r/>
            <w:r>
              <w:rPr>
                <w:rFonts w:ascii="Calibri" w:hAnsi="Calibri" w:eastAsia="Calibri"/>
                <w:b/>
                <w:sz w:val="17"/>
              </w:rPr>
              <w:t>Host</w:t>
            </w:r>
          </w:p>
        </w:tc>
        <w:tc>
          <w:tcPr>
            <w:tcW w:type="dxa" w:w="2268"/>
          </w:tcPr>
          <w:p>
            <w:r/>
            <w:r>
              <w:rPr>
                <w:rFonts w:ascii="Calibri" w:hAnsi="Calibri" w:eastAsia="Calibri"/>
                <w:b w:val="0"/>
                <w:sz w:val="17"/>
              </w:rPr>
              <w:t>Someone who already owns a family plan</w:t>
            </w:r>
          </w:p>
        </w:tc>
        <w:tc>
          <w:tcPr>
            <w:tcW w:type="dxa" w:w="2268"/>
          </w:tcPr>
          <w:p>
            <w:r/>
            <w:r>
              <w:rPr>
                <w:rFonts w:ascii="Calibri" w:hAnsi="Calibri" w:eastAsia="Calibri"/>
                <w:b w:val="0"/>
                <w:sz w:val="17"/>
              </w:rPr>
              <w:t>Chasing five people for a transfer every month</w:t>
            </w:r>
          </w:p>
        </w:tc>
        <w:tc>
          <w:tcPr>
            <w:tcW w:type="dxa" w:w="2268"/>
          </w:tcPr>
          <w:p>
            <w:r/>
            <w:r>
              <w:rPr>
                <w:rFonts w:ascii="Calibri" w:hAnsi="Calibri" w:eastAsia="Calibri"/>
                <w:b w:val="0"/>
                <w:sz w:val="17"/>
              </w:rPr>
              <w:t>An automatic monthly payout</w:t>
            </w:r>
          </w:p>
        </w:tc>
      </w:tr>
      <w:tr>
        <w:tc>
          <w:tcPr>
            <w:tcW w:type="dxa" w:w="2268"/>
          </w:tcPr>
          <w:p>
            <w:r/>
            <w:r>
              <w:rPr>
                <w:rFonts w:ascii="Calibri" w:hAnsi="Calibri" w:eastAsia="Calibri"/>
                <w:b/>
                <w:sz w:val="17"/>
              </w:rPr>
              <w:t>Admin</w:t>
            </w:r>
          </w:p>
        </w:tc>
        <w:tc>
          <w:tcPr>
            <w:tcW w:type="dxa" w:w="2268"/>
          </w:tcPr>
          <w:p>
            <w:r/>
            <w:r>
              <w:rPr>
                <w:rFonts w:ascii="Calibri" w:hAnsi="Calibri" w:eastAsia="Calibri"/>
                <w:b w:val="0"/>
                <w:sz w:val="17"/>
              </w:rPr>
              <w:t>Platform operations</w:t>
            </w:r>
          </w:p>
        </w:tc>
        <w:tc>
          <w:tcPr>
            <w:tcW w:type="dxa" w:w="2268"/>
          </w:tcPr>
          <w:p>
            <w:r/>
            <w:r>
              <w:rPr>
                <w:rFonts w:ascii="Calibri" w:hAnsi="Calibri" w:eastAsia="Calibri"/>
                <w:b w:val="0"/>
                <w:sz w:val="17"/>
              </w:rPr>
              <w:t>Not knowing who is lying</w:t>
            </w:r>
          </w:p>
        </w:tc>
        <w:tc>
          <w:tcPr>
            <w:tcW w:type="dxa" w:w="2268"/>
          </w:tcPr>
          <w:p>
            <w:r/>
            <w:r>
              <w:rPr>
                <w:rFonts w:ascii="Calibri" w:hAnsi="Calibri" w:eastAsia="Calibri"/>
                <w:b w:val="0"/>
                <w:sz w:val="17"/>
              </w:rPr>
              <w:t>Credential history, complaint clusters, credit history — then a decision</w:t>
            </w:r>
          </w:p>
        </w:tc>
      </w:tr>
    </w:tbl>
    <w:p>
      <w:pPr>
        <w:spacing w:after="40"/>
      </w:pPr>
    </w:p>
    <w:p>
      <w:r>
        <w:rPr>
          <w:rFonts w:ascii="Calibri" w:hAnsi="Calibri" w:eastAsia="Calibri"/>
          <w:b/>
          <w:sz w:val="20"/>
        </w:rPr>
        <w:t>Three scenarios</w:t>
      </w:r>
    </w:p>
    <w:p>
      <w:pPr>
        <w:pStyle w:val="ListBullet"/>
        <w:spacing w:after="60" w:line="300" w:lineRule="exact"/>
      </w:pPr>
      <w:r>
        <w:rPr>
          <w:rFonts w:ascii="Calibri" w:hAnsi="Calibri" w:eastAsia="Calibri"/>
          <w:b/>
          <w:sz w:val="20"/>
        </w:rPr>
        <w:t>A — finding a seat.</w:t>
      </w:r>
      <w:r>
        <w:rPr>
          <w:rFonts w:ascii="Calibri" w:hAnsi="Calibri" w:eastAsia="Calibri"/>
          <w:b w:val="0"/>
          <w:sz w:val="20"/>
        </w:rPr>
        <w:t xml:space="preserve"> A Spotify HK group is one seat short, host score 100. The member searches *Spotify · HK · one seat left · score 100* and sees two candidates in under a second; takes the cheaper one.</w:t>
      </w:r>
    </w:p>
    <w:p>
      <w:pPr>
        <w:pStyle w:val="ListBullet"/>
        <w:spacing w:after="60" w:line="300" w:lineRule="exact"/>
      </w:pPr>
      <w:r>
        <w:rPr>
          <w:rFonts w:ascii="Calibri" w:hAnsi="Calibri" w:eastAsia="Calibri"/>
          <w:b/>
          <w:sz w:val="20"/>
        </w:rPr>
        <w:t>B — opening a group.</w:t>
      </w:r>
      <w:r>
        <w:rPr>
          <w:rFonts w:ascii="Calibri" w:hAnsi="Calibri" w:eastAsia="Calibri"/>
          <w:b w:val="0"/>
          <w:sz w:val="20"/>
        </w:rPr>
        <w:t xml:space="preserve"> A host verifies the official invoice, opens a group at HK$18 per seat per month, fills six seats, and receives HK$17.10 per seat every month after the 5% fee.</w:t>
      </w:r>
    </w:p>
    <w:p>
      <w:pPr>
        <w:pStyle w:val="ListBullet"/>
        <w:spacing w:after="60" w:line="300" w:lineRule="exact"/>
      </w:pPr>
      <w:r>
        <w:rPr>
          <w:rFonts w:ascii="Calibri" w:hAnsi="Calibri" w:eastAsia="Calibri"/>
          <w:b/>
          <w:sz w:val="20"/>
        </w:rPr>
        <w:t>C — a dispute.</w:t>
      </w:r>
      <w:r>
        <w:rPr>
          <w:rFonts w:ascii="Calibri" w:hAnsi="Calibri" w:eastAsia="Calibri"/>
          <w:b w:val="0"/>
          <w:sz w:val="20"/>
        </w:rPr>
        <w:t xml:space="preserve"> A host changes the password six times in two months and two members cannot get in. The group enters the risk queue, the remaining balance is frozen, and an administrator decides whether to refund.</w:t>
      </w:r>
    </w:p>
    <w:p>
      <w:pPr>
        <w:keepNext/>
        <w:spacing w:before="280" w:after="80"/>
      </w:pPr>
      <w:r>
        <w:rPr>
          <w:rFonts w:ascii="Calibri" w:hAnsi="Calibri" w:eastAsia="Calibri"/>
          <w:b/>
          <w:color w:val="0E2A47"/>
          <w:sz w:val="28"/>
        </w:rPr>
        <w:t>5. How it runs</w:t>
      </w:r>
    </w:p>
    <w:p>
      <w:r>
        <w:rPr>
          <w:rFonts w:ascii="Calibri" w:hAnsi="Calibri" w:eastAsia="Calibri"/>
          <w:b/>
          <w:sz w:val="20"/>
        </w:rPr>
        <w:t>Four steps</w:t>
      </w:r>
    </w:p>
    <w:p>
      <w:pPr>
        <w:pStyle w:val="ListNumber"/>
        <w:spacing w:after="60" w:line="300" w:lineRule="exact"/>
      </w:pPr>
      <w:r>
        <w:rPr>
          <w:rFonts w:ascii="Calibri" w:hAnsi="Calibri" w:eastAsia="Calibri"/>
          <w:b/>
          <w:sz w:val="20"/>
        </w:rPr>
        <w:t>The host verifies the bill.</w:t>
      </w:r>
      <w:r>
        <w:rPr>
          <w:rFonts w:ascii="Calibri" w:hAnsi="Calibri" w:eastAsia="Calibri"/>
          <w:b w:val="0"/>
          <w:sz w:val="20"/>
        </w:rPr>
        <w:t xml:space="preserve"> The official invoice is checked before the group goes live.</w:t>
      </w:r>
    </w:p>
    <w:p>
      <w:pPr>
        <w:pStyle w:val="ListNumber"/>
        <w:spacing w:after="60" w:line="300" w:lineRule="exact"/>
      </w:pPr>
      <w:r>
        <w:rPr>
          <w:rFonts w:ascii="Calibri" w:hAnsi="Calibri" w:eastAsia="Calibri"/>
          <w:b/>
          <w:sz w:val="20"/>
        </w:rPr>
        <w:t>The group opens six seats.</w:t>
      </w:r>
      <w:r>
        <w:rPr>
          <w:rFonts w:ascii="Calibri" w:hAnsi="Calibri" w:eastAsia="Calibri"/>
          <w:b w:val="0"/>
          <w:sz w:val="20"/>
        </w:rPr>
        <w:t xml:space="preserve"> The host sets the monthly price per seat.</w:t>
      </w:r>
    </w:p>
    <w:p>
      <w:pPr>
        <w:pStyle w:val="ListNumber"/>
        <w:spacing w:after="60" w:line="300" w:lineRule="exact"/>
      </w:pPr>
      <w:r>
        <w:rPr>
          <w:rFonts w:ascii="Calibri" w:hAnsi="Calibri" w:eastAsia="Calibri"/>
          <w:b/>
          <w:sz w:val="20"/>
        </w:rPr>
        <w:t>Members prepay twelve months.</w:t>
      </w:r>
      <w:r>
        <w:rPr>
          <w:rFonts w:ascii="Calibri" w:hAnsi="Calibri" w:eastAsia="Calibri"/>
          <w:b w:val="0"/>
          <w:sz w:val="20"/>
        </w:rPr>
        <w:t xml:space="preserve"> The money does not reach the host; it enters escrow.</w:t>
      </w:r>
    </w:p>
    <w:p>
      <w:pPr>
        <w:pStyle w:val="ListNumber"/>
        <w:spacing w:after="60" w:line="300" w:lineRule="exact"/>
      </w:pPr>
      <w:r>
        <w:rPr>
          <w:rFonts w:ascii="Calibri" w:hAnsi="Calibri" w:eastAsia="Calibri"/>
          <w:b/>
          <w:sz w:val="20"/>
        </w:rPr>
        <w:t>The platform releases one twelfth a month.</w:t>
      </w:r>
      <w:r>
        <w:rPr>
          <w:rFonts w:ascii="Calibri" w:hAnsi="Calibri" w:eastAsia="Calibri"/>
          <w:b w:val="0"/>
          <w:sz w:val="20"/>
        </w:rPr>
        <w:t xml:space="preserve"> The host is paid monthly, the platform keeps 5%, and the escrow is empty at month twelve.</w:t>
      </w:r>
    </w:p>
    <w:p>
      <w:r>
        <w:rPr>
          <w:rFonts w:ascii="Calibri" w:hAnsi="Calibri" w:eastAsia="Calibri"/>
          <w:b/>
          <w:sz w:val="20"/>
        </w:rPr>
        <w:t>Where the money currently sits</w:t>
      </w:r>
      <w:r>
        <w:rPr>
          <w:rFonts w:ascii="Calibri" w:hAnsi="Calibri" w:eastAsia="Calibri"/>
          <w:b w:val="0"/>
          <w:sz w:val="20"/>
        </w:rPr>
        <w:t xml:space="preserve"> (seeded instance):</w:t>
      </w:r>
    </w:p>
    <w:tbl>
      <w:tblPr>
        <w:tblStyle w:val="TableGrid"/>
        <w:tblW w:type="auto" w:w="0"/>
        <w:jc w:val="center"/>
        <w:tblLayout w:type="fixed"/>
        <w:tblLook w:firstColumn="1" w:firstRow="1" w:lastColumn="0" w:lastRow="0" w:noHBand="0" w:noVBand="1" w:val="04A0"/>
        <w:tblLayout w:type="fixed"/>
      </w:tblPr>
      <w:tblGrid>
        <w:gridCol w:w="4535"/>
        <w:gridCol w:w="4535"/>
      </w:tblGrid>
      <w:tr>
        <w:tc>
          <w:tcPr>
            <w:tcW w:type="dxa" w:w="4535"/>
            <w:shd w:val="clear" w:color="auto" w:fill="0E2A47"/>
          </w:tcPr>
          <w:p>
            <w:r>
              <w:rPr>
                <w:b/>
              </w:rPr>
            </w:r>
            <w:r>
              <w:rPr>
                <w:rFonts w:ascii="Calibri" w:hAnsi="Calibri" w:eastAsia="Calibri"/>
                <w:b/>
                <w:color w:val="FFFFFF"/>
                <w:sz w:val="17"/>
              </w:rPr>
              <w:t>Item</w:t>
            </w:r>
          </w:p>
        </w:tc>
        <w:tc>
          <w:tcPr>
            <w:tcW w:type="dxa" w:w="4535"/>
            <w:shd w:val="clear" w:color="auto" w:fill="0E2A47"/>
          </w:tcPr>
          <w:p>
            <w:r>
              <w:rPr>
                <w:b/>
              </w:rPr>
            </w:r>
            <w:r>
              <w:rPr>
                <w:rFonts w:ascii="Calibri" w:hAnsi="Calibri" w:eastAsia="Calibri"/>
                <w:b/>
                <w:color w:val="FFFFFF"/>
                <w:sz w:val="17"/>
              </w:rPr>
              <w:t>Amount (HK$)</w:t>
            </w:r>
          </w:p>
        </w:tc>
      </w:tr>
      <w:tr>
        <w:tc>
          <w:tcPr>
            <w:tcW w:type="dxa" w:w="4535"/>
          </w:tcPr>
          <w:p>
            <w:r/>
            <w:r>
              <w:rPr>
                <w:rFonts w:ascii="Calibri" w:hAnsi="Calibri" w:eastAsia="Calibri"/>
                <w:b w:val="0"/>
                <w:sz w:val="17"/>
              </w:rPr>
              <w:t>Prepaid by members</w:t>
            </w:r>
          </w:p>
        </w:tc>
        <w:tc>
          <w:tcPr>
            <w:tcW w:type="dxa" w:w="4535"/>
          </w:tcPr>
          <w:p>
            <w:r/>
            <w:r>
              <w:rPr>
                <w:rFonts w:ascii="Calibri" w:hAnsi="Calibri" w:eastAsia="Calibri"/>
                <w:b w:val="0"/>
                <w:sz w:val="17"/>
              </w:rPr>
              <w:t>61,577</w:t>
            </w:r>
          </w:p>
        </w:tc>
      </w:tr>
      <w:tr>
        <w:tc>
          <w:tcPr>
            <w:tcW w:type="dxa" w:w="4535"/>
          </w:tcPr>
          <w:p>
            <w:r/>
            <w:r>
              <w:rPr>
                <w:rFonts w:ascii="Calibri" w:hAnsi="Calibri" w:eastAsia="Calibri"/>
                <w:b w:val="0"/>
                <w:sz w:val="17"/>
              </w:rPr>
              <w:t>Released to hosts</w:t>
            </w:r>
          </w:p>
        </w:tc>
        <w:tc>
          <w:tcPr>
            <w:tcW w:type="dxa" w:w="4535"/>
          </w:tcPr>
          <w:p>
            <w:r/>
            <w:r>
              <w:rPr>
                <w:rFonts w:ascii="Calibri" w:hAnsi="Calibri" w:eastAsia="Calibri"/>
                <w:b w:val="0"/>
                <w:sz w:val="17"/>
              </w:rPr>
              <w:t>35,464 (58%)</w:t>
            </w:r>
          </w:p>
        </w:tc>
      </w:tr>
      <w:tr>
        <w:tc>
          <w:tcPr>
            <w:tcW w:type="dxa" w:w="4535"/>
          </w:tcPr>
          <w:p>
            <w:r/>
            <w:r>
              <w:rPr>
                <w:rFonts w:ascii="Calibri" w:hAnsi="Calibri" w:eastAsia="Calibri"/>
                <w:b w:val="0"/>
                <w:sz w:val="17"/>
              </w:rPr>
              <w:t>Still held in escrow</w:t>
            </w:r>
          </w:p>
        </w:tc>
        <w:tc>
          <w:tcPr>
            <w:tcW w:type="dxa" w:w="4535"/>
          </w:tcPr>
          <w:p>
            <w:r/>
            <w:r>
              <w:rPr>
                <w:rFonts w:ascii="Calibri" w:hAnsi="Calibri" w:eastAsia="Calibri"/>
                <w:b w:val="0"/>
                <w:sz w:val="17"/>
              </w:rPr>
              <w:t>26,113</w:t>
            </w:r>
          </w:p>
        </w:tc>
      </w:tr>
      <w:tr>
        <w:tc>
          <w:tcPr>
            <w:tcW w:type="dxa" w:w="4535"/>
          </w:tcPr>
          <w:p>
            <w:r/>
            <w:r>
              <w:rPr>
                <w:rFonts w:ascii="Calibri" w:hAnsi="Calibri" w:eastAsia="Calibri"/>
                <w:b w:val="0"/>
                <w:sz w:val="17"/>
              </w:rPr>
              <w:t>Platform fees collected</w:t>
            </w:r>
          </w:p>
        </w:tc>
        <w:tc>
          <w:tcPr>
            <w:tcW w:type="dxa" w:w="4535"/>
          </w:tcPr>
          <w:p>
            <w:r/>
            <w:r>
              <w:rPr>
                <w:rFonts w:ascii="Calibri" w:hAnsi="Calibri" w:eastAsia="Calibri"/>
                <w:b w:val="0"/>
                <w:sz w:val="17"/>
              </w:rPr>
              <w:t>1,772</w:t>
            </w:r>
          </w:p>
        </w:tc>
      </w:tr>
    </w:tbl>
    <w:p>
      <w:pPr>
        <w:spacing w:after="40"/>
      </w:pPr>
    </w:p>
    <w:p>
      <w:r>
        <w:rPr>
          <w:rFonts w:ascii="Calibri" w:hAnsi="Calibri" w:eastAsia="Calibri"/>
          <w:b/>
          <w:sz w:val="20"/>
        </w:rPr>
        <w:t>How a dispute resolves</w:t>
      </w:r>
    </w:p>
    <w:p>
      <w:r>
        <w:rPr>
          <w:rFonts w:ascii="Calibri" w:hAnsi="Calibri" w:eastAsia="Calibri"/>
          <w:b w:val="0"/>
          <w:sz w:val="20"/>
        </w:rPr>
        <w:t>Complaint → the remaining escrow for that seat is frozen → an administrator reviews → refund (the unreleased balance goes back) or rejection → the credit score changes, with a row that records why. Months already released are never clawed back.</w:t>
      </w:r>
    </w:p>
    <w:p>
      <w:pPr>
        <w:keepNext/>
        <w:spacing w:before="280" w:after="80"/>
      </w:pPr>
      <w:r>
        <w:rPr>
          <w:rFonts w:ascii="Calibri" w:hAnsi="Calibri" w:eastAsia="Calibri"/>
          <w:b/>
          <w:color w:val="0E2A47"/>
          <w:sz w:val="28"/>
        </w:rPr>
        <w:t>6. Feature set</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Stage</w:t>
            </w:r>
          </w:p>
        </w:tc>
        <w:tc>
          <w:tcPr>
            <w:tcW w:type="dxa" w:w="3024"/>
            <w:shd w:val="clear" w:color="auto" w:fill="0E2A47"/>
          </w:tcPr>
          <w:p>
            <w:r>
              <w:rPr>
                <w:b/>
              </w:rPr>
            </w:r>
            <w:r>
              <w:rPr>
                <w:rFonts w:ascii="Calibri" w:hAnsi="Calibri" w:eastAsia="Calibri"/>
                <w:b/>
                <w:color w:val="FFFFFF"/>
                <w:sz w:val="17"/>
              </w:rPr>
              <w:t>Features</w:t>
            </w:r>
          </w:p>
        </w:tc>
        <w:tc>
          <w:tcPr>
            <w:tcW w:type="dxa" w:w="3024"/>
            <w:shd w:val="clear" w:color="auto" w:fill="0E2A47"/>
          </w:tcPr>
          <w:p>
            <w:r>
              <w:rPr>
                <w:b/>
              </w:rPr>
            </w:r>
            <w:r>
              <w:rPr>
                <w:rFonts w:ascii="Calibri" w:hAnsi="Calibri" w:eastAsia="Calibri"/>
                <w:b/>
                <w:color w:val="FFFFFF"/>
                <w:sz w:val="17"/>
              </w:rPr>
              <w:t>Status</w:t>
            </w:r>
          </w:p>
        </w:tc>
      </w:tr>
      <w:tr>
        <w:tc>
          <w:tcPr>
            <w:tcW w:type="dxa" w:w="3024"/>
          </w:tcPr>
          <w:p>
            <w:r/>
            <w:r>
              <w:rPr>
                <w:rFonts w:ascii="Calibri" w:hAnsi="Calibri" w:eastAsia="Calibri"/>
                <w:b/>
                <w:sz w:val="17"/>
              </w:rPr>
              <w:t>MVP</w:t>
            </w:r>
          </w:p>
        </w:tc>
        <w:tc>
          <w:tcPr>
            <w:tcW w:type="dxa" w:w="3024"/>
          </w:tcPr>
          <w:p>
            <w:r/>
            <w:r>
              <w:rPr>
                <w:rFonts w:ascii="Calibri" w:hAnsi="Calibri" w:eastAsia="Calibri"/>
                <w:b w:val="0"/>
                <w:sz w:val="17"/>
              </w:rPr>
              <w:t>Registration and credit score, payment instruments, group creation and pricing, credential vault, seats with a twelve-month window, escrow prepayment, monthly release, credential journal, complaints with manual review, credit audit trail</w:t>
            </w:r>
          </w:p>
        </w:tc>
        <w:tc>
          <w:tcPr>
            <w:tcW w:type="dxa" w:w="3024"/>
          </w:tcPr>
          <w:p>
            <w:r/>
            <w:r>
              <w:rPr>
                <w:rFonts w:ascii="Calibri" w:hAnsi="Calibri" w:eastAsia="Calibri"/>
                <w:b w:val="0"/>
                <w:sz w:val="17"/>
              </w:rPr>
              <w:t>Implemented at the data layer</w:t>
            </w:r>
          </w:p>
        </w:tc>
      </w:tr>
      <w:tr>
        <w:tc>
          <w:tcPr>
            <w:tcW w:type="dxa" w:w="3024"/>
          </w:tcPr>
          <w:p>
            <w:r/>
            <w:r>
              <w:rPr>
                <w:rFonts w:ascii="Calibri" w:hAnsi="Calibri" w:eastAsia="Calibri"/>
                <w:b/>
                <w:sz w:val="17"/>
              </w:rPr>
              <w:t>Phase 2</w:t>
            </w:r>
          </w:p>
        </w:tc>
        <w:tc>
          <w:tcPr>
            <w:tcW w:type="dxa" w:w="3024"/>
          </w:tcPr>
          <w:p>
            <w:r/>
            <w:r>
              <w:rPr>
                <w:rFonts w:ascii="Calibri" w:hAnsi="Calibri" w:eastAsia="Calibri"/>
                <w:b w:val="0"/>
                <w:sz w:val="17"/>
              </w:rPr>
              <w:t>Automated bill verification (API), notifications, ratings, cross-region pricing, mobile client</w:t>
            </w:r>
          </w:p>
        </w:tc>
        <w:tc>
          <w:tcPr>
            <w:tcW w:type="dxa" w:w="3024"/>
          </w:tcPr>
          <w:p>
            <w:r/>
            <w:r>
              <w:rPr>
                <w:rFonts w:ascii="Calibri" w:hAnsi="Calibri" w:eastAsia="Calibri"/>
                <w:b w:val="0"/>
                <w:sz w:val="17"/>
              </w:rPr>
              <w:t>Not built</w:t>
            </w:r>
          </w:p>
        </w:tc>
      </w:tr>
      <w:tr>
        <w:tc>
          <w:tcPr>
            <w:tcW w:type="dxa" w:w="3024"/>
          </w:tcPr>
          <w:p>
            <w:r/>
            <w:r>
              <w:rPr>
                <w:rFonts w:ascii="Calibri" w:hAnsi="Calibri" w:eastAsia="Calibri"/>
                <w:b/>
                <w:sz w:val="17"/>
              </w:rPr>
              <w:t>Explicitly out</w:t>
            </w:r>
          </w:p>
        </w:tc>
        <w:tc>
          <w:tcPr>
            <w:tcW w:type="dxa" w:w="3024"/>
          </w:tcPr>
          <w:p>
            <w:r/>
            <w:r>
              <w:rPr>
                <w:rFonts w:ascii="Calibri" w:hAnsi="Calibri" w:eastAsia="Calibri"/>
                <w:b w:val="0"/>
                <w:sz w:val="17"/>
              </w:rPr>
              <w:t>Reselling subscriptions, a real payment gateway, storing plaintext passwords, automatic refunds</w:t>
            </w:r>
          </w:p>
        </w:tc>
        <w:tc>
          <w:tcPr>
            <w:tcW w:type="dxa" w:w="3024"/>
          </w:tcPr>
          <w:p>
            <w:r/>
            <w:r>
              <w:rPr>
                <w:rFonts w:ascii="Calibri" w:hAnsi="Calibri" w:eastAsia="Calibri"/>
                <w:b w:val="0"/>
                <w:sz w:val="17"/>
              </w:rPr>
              <w:t>Not built, for stated reasons (see §10)</w:t>
            </w:r>
          </w:p>
        </w:tc>
      </w:tr>
    </w:tbl>
    <w:p>
      <w:pPr>
        <w:spacing w:after="40"/>
      </w:pPr>
    </w:p>
    <w:p>
      <w:r>
        <w:rPr>
          <w:rFonts w:ascii="Calibri" w:hAnsi="Calibri" w:eastAsia="Calibri"/>
          <w:b/>
          <w:sz w:val="20"/>
        </w:rPr>
        <w:t>Scope note.</w:t>
      </w:r>
      <w:r>
        <w:rPr>
          <w:rFonts w:ascii="Calibri" w:hAnsi="Calibri" w:eastAsia="Calibri"/>
          <w:b w:val="0"/>
          <w:sz w:val="20"/>
        </w:rPr>
        <w:t xml:space="preserve"> What exists is the *data layer*: tables, constraints, triggers, queries. The payment gateway, notifications and the interface are phase 2 and are modelled as states and records, not as real money movement.</w:t>
      </w:r>
    </w:p>
    <w:p>
      <w:pPr>
        <w:keepNext/>
        <w:spacing w:before="280" w:after="80"/>
      </w:pPr>
      <w:r>
        <w:rPr>
          <w:rFonts w:ascii="Calibri" w:hAnsi="Calibri" w:eastAsia="Calibri"/>
          <w:b/>
          <w:color w:val="0E2A47"/>
          <w:sz w:val="28"/>
        </w:rPr>
        <w:t>7. Business model and unit economics</w:t>
      </w:r>
    </w:p>
    <w:p>
      <w:r>
        <w:rPr>
          <w:rFonts w:ascii="Calibri" w:hAnsi="Calibri" w:eastAsia="Calibri"/>
          <w:b/>
          <w:sz w:val="20"/>
        </w:rPr>
        <w:t>Revenue:</w:t>
      </w:r>
      <w:r>
        <w:rPr>
          <w:rFonts w:ascii="Calibri" w:hAnsi="Calibri" w:eastAsia="Calibri"/>
          <w:b w:val="0"/>
          <w:sz w:val="20"/>
        </w:rPr>
        <w:t xml:space="preserve"> 5% of every release. </w:t>
      </w:r>
      <w:r>
        <w:rPr>
          <w:rFonts w:ascii="Calibri" w:hAnsi="Calibri" w:eastAsia="Calibri"/>
          <w:b/>
          <w:sz w:val="20"/>
        </w:rPr>
        <w:t>Cost:</w:t>
      </w:r>
      <w:r>
        <w:rPr>
          <w:rFonts w:ascii="Calibri" w:hAnsi="Calibri" w:eastAsia="Calibri"/>
          <w:b w:val="0"/>
          <w:sz w:val="20"/>
        </w:rPr>
        <w:t xml:space="preserve"> hosting and database, payment processing, support (the manual review), bad debt.</w:t>
      </w:r>
    </w:p>
    <w:p>
      <w:r>
        <w:rPr>
          <w:rFonts w:ascii="Calibri" w:hAnsi="Calibri" w:eastAsia="Calibri"/>
          <w:b/>
          <w:sz w:val="20"/>
        </w:rPr>
        <w:t>Rough arithmetic</w:t>
      </w:r>
      <w:r>
        <w:rPr>
          <w:rFonts w:ascii="Calibri" w:hAnsi="Calibri" w:eastAsia="Calibri"/>
          <w:b w:val="0"/>
          <w:sz w:val="20"/>
        </w:rPr>
        <w:t xml:space="preserve"> (on the seeded instance): 300 seats at roughly HK$20 per seat per month is about HK$70,000 of releases a year, and therefore about HK$3,500 of revenue. At this scale it is a proof of concept, not a business.</w:t>
      </w:r>
    </w:p>
    <w:p>
      <w:r>
        <w:rPr>
          <w:rFonts w:ascii="Calibri" w:hAnsi="Calibri" w:eastAsia="Calibri"/>
          <w:b/>
          <w:sz w:val="20"/>
        </w:rPr>
        <w:t>Break-even has two directions only:</w:t>
      </w:r>
      <w:r>
        <w:rPr>
          <w:rFonts w:ascii="Calibri" w:hAnsi="Calibri" w:eastAsia="Calibri"/>
          <w:b w:val="0"/>
          <w:sz w:val="20"/>
        </w:rPr>
        <w:t xml:space="preserve"> more seats (scale), or a higher take rate (which raises the per-seat price and weakens the value proposition). Five per cent is deliberately conservative — under twice a payment processor's fee, and small enough that nobody feels taxed.</w:t>
      </w:r>
    </w:p>
    <w:p>
      <w:pPr>
        <w:keepNext/>
        <w:spacing w:before="280" w:after="80"/>
      </w:pPr>
      <w:r>
        <w:rPr>
          <w:rFonts w:ascii="Calibri" w:hAnsi="Calibri" w:eastAsia="Calibri"/>
          <w:b/>
          <w:color w:val="0E2A47"/>
          <w:sz w:val="28"/>
        </w:rPr>
        <w:t>8. Metrics (all computable from the current tables)</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Metric</w:t>
            </w:r>
          </w:p>
        </w:tc>
        <w:tc>
          <w:tcPr>
            <w:tcW w:type="dxa" w:w="3024"/>
            <w:shd w:val="clear" w:color="auto" w:fill="0E2A47"/>
          </w:tcPr>
          <w:p>
            <w:r>
              <w:rPr>
                <w:b/>
              </w:rPr>
            </w:r>
            <w:r>
              <w:rPr>
                <w:rFonts w:ascii="Calibri" w:hAnsi="Calibri" w:eastAsia="Calibri"/>
                <w:b/>
                <w:color w:val="FFFFFF"/>
                <w:sz w:val="17"/>
              </w:rPr>
              <w:t>Definition</w:t>
            </w:r>
          </w:p>
        </w:tc>
        <w:tc>
          <w:tcPr>
            <w:tcW w:type="dxa" w:w="3024"/>
            <w:shd w:val="clear" w:color="auto" w:fill="0E2A47"/>
          </w:tcPr>
          <w:p>
            <w:r>
              <w:rPr>
                <w:b/>
              </w:rPr>
            </w:r>
            <w:r>
              <w:rPr>
                <w:rFonts w:ascii="Calibri" w:hAnsi="Calibri" w:eastAsia="Calibri"/>
                <w:b/>
                <w:color w:val="FFFFFF"/>
                <w:sz w:val="17"/>
              </w:rPr>
              <w:t>Source</w:t>
            </w:r>
          </w:p>
        </w:tc>
      </w:tr>
      <w:tr>
        <w:tc>
          <w:tcPr>
            <w:tcW w:type="dxa" w:w="3024"/>
          </w:tcPr>
          <w:p>
            <w:r/>
            <w:r>
              <w:rPr>
                <w:rFonts w:ascii="Calibri" w:hAnsi="Calibri" w:eastAsia="Calibri"/>
                <w:b w:val="0"/>
                <w:sz w:val="17"/>
              </w:rPr>
              <w:t>Time to fill</w:t>
            </w:r>
          </w:p>
        </w:tc>
        <w:tc>
          <w:tcPr>
            <w:tcW w:type="dxa" w:w="3024"/>
          </w:tcPr>
          <w:p>
            <w:r/>
            <w:r>
              <w:rPr>
                <w:rFonts w:ascii="Calibri" w:hAnsi="Calibri" w:eastAsia="Calibri"/>
                <w:b w:val="0"/>
                <w:sz w:val="17"/>
              </w:rPr>
              <w:t>Hours from group creation to the last seat</w:t>
            </w:r>
          </w:p>
        </w:tc>
        <w:tc>
          <w:tcPr>
            <w:tcW w:type="dxa" w:w="3024"/>
          </w:tcPr>
          <w:p>
            <w:r/>
            <w:r>
              <w:rPr>
                <w:rFonts w:ascii="Calibri" w:hAnsi="Calibri" w:eastAsia="Calibri"/>
                <w:b w:val="0"/>
                <w:sz w:val="17"/>
              </w:rPr>
              <w:t>`carpool_group.created_at` / `full_at`</w:t>
            </w:r>
          </w:p>
        </w:tc>
      </w:tr>
      <w:tr>
        <w:tc>
          <w:tcPr>
            <w:tcW w:type="dxa" w:w="3024"/>
          </w:tcPr>
          <w:p>
            <w:r/>
            <w:r>
              <w:rPr>
                <w:rFonts w:ascii="Calibri" w:hAnsi="Calibri" w:eastAsia="Calibri"/>
                <w:b w:val="0"/>
                <w:sz w:val="17"/>
              </w:rPr>
              <w:t>MRR</w:t>
            </w:r>
          </w:p>
        </w:tc>
        <w:tc>
          <w:tcPr>
            <w:tcW w:type="dxa" w:w="3024"/>
          </w:tcPr>
          <w:p>
            <w:r/>
            <w:r>
              <w:rPr>
                <w:rFonts w:ascii="Calibri" w:hAnsi="Calibri" w:eastAsia="Calibri"/>
                <w:b w:val="0"/>
                <w:sz w:val="17"/>
              </w:rPr>
              <w:t>Fees released in the month</w:t>
            </w:r>
          </w:p>
        </w:tc>
        <w:tc>
          <w:tcPr>
            <w:tcW w:type="dxa" w:w="3024"/>
          </w:tcPr>
          <w:p>
            <w:r/>
            <w:r>
              <w:rPr>
                <w:rFonts w:ascii="Calibri" w:hAnsi="Calibri" w:eastAsia="Calibri"/>
                <w:b w:val="0"/>
                <w:sz w:val="17"/>
              </w:rPr>
              <w:t>`monthly_payout_log`</w:t>
            </w:r>
          </w:p>
        </w:tc>
      </w:tr>
      <w:tr>
        <w:tc>
          <w:tcPr>
            <w:tcW w:type="dxa" w:w="3024"/>
          </w:tcPr>
          <w:p>
            <w:r/>
            <w:r>
              <w:rPr>
                <w:rFonts w:ascii="Calibri" w:hAnsi="Calibri" w:eastAsia="Calibri"/>
                <w:b w:val="0"/>
                <w:sz w:val="17"/>
              </w:rPr>
              <w:t>Dispute rate</w:t>
            </w:r>
          </w:p>
        </w:tc>
        <w:tc>
          <w:tcPr>
            <w:tcW w:type="dxa" w:w="3024"/>
          </w:tcPr>
          <w:p>
            <w:r/>
            <w:r>
              <w:rPr>
                <w:rFonts w:ascii="Calibri" w:hAnsi="Calibri" w:eastAsia="Calibri"/>
                <w:b w:val="0"/>
                <w:sz w:val="17"/>
              </w:rPr>
              <w:t>Seats with at least one complaint / all seats</w:t>
            </w:r>
          </w:p>
        </w:tc>
        <w:tc>
          <w:tcPr>
            <w:tcW w:type="dxa" w:w="3024"/>
          </w:tcPr>
          <w:p>
            <w:r/>
            <w:r>
              <w:rPr>
                <w:rFonts w:ascii="Calibri" w:hAnsi="Calibri" w:eastAsia="Calibri"/>
                <w:b w:val="0"/>
                <w:sz w:val="17"/>
              </w:rPr>
              <w:t>`dispute` / `membership_seat`</w:t>
            </w:r>
          </w:p>
        </w:tc>
      </w:tr>
      <w:tr>
        <w:tc>
          <w:tcPr>
            <w:tcW w:type="dxa" w:w="3024"/>
          </w:tcPr>
          <w:p>
            <w:r/>
            <w:r>
              <w:rPr>
                <w:rFonts w:ascii="Calibri" w:hAnsi="Calibri" w:eastAsia="Calibri"/>
                <w:b w:val="0"/>
                <w:sz w:val="17"/>
              </w:rPr>
              <w:t>Refund rate</w:t>
            </w:r>
          </w:p>
        </w:tc>
        <w:tc>
          <w:tcPr>
            <w:tcW w:type="dxa" w:w="3024"/>
          </w:tcPr>
          <w:p>
            <w:r/>
            <w:r>
              <w:rPr>
                <w:rFonts w:ascii="Calibri" w:hAnsi="Calibri" w:eastAsia="Calibri"/>
                <w:b w:val="0"/>
                <w:sz w:val="17"/>
              </w:rPr>
              <w:t>Complaints closed as refunded / all seats</w:t>
            </w:r>
          </w:p>
        </w:tc>
        <w:tc>
          <w:tcPr>
            <w:tcW w:type="dxa" w:w="3024"/>
          </w:tcPr>
          <w:p>
            <w:r/>
            <w:r>
              <w:rPr>
                <w:rFonts w:ascii="Calibri" w:hAnsi="Calibri" w:eastAsia="Calibri"/>
                <w:b w:val="0"/>
                <w:sz w:val="17"/>
              </w:rPr>
              <w:t>`dispute.dispute_status`</w:t>
            </w:r>
          </w:p>
        </w:tc>
      </w:tr>
      <w:tr>
        <w:tc>
          <w:tcPr>
            <w:tcW w:type="dxa" w:w="3024"/>
          </w:tcPr>
          <w:p>
            <w:r/>
            <w:r>
              <w:rPr>
                <w:rFonts w:ascii="Calibri" w:hAnsi="Calibri" w:eastAsia="Calibri"/>
                <w:b w:val="0"/>
                <w:sz w:val="17"/>
              </w:rPr>
              <w:t>Risk hits</w:t>
            </w:r>
          </w:p>
        </w:tc>
        <w:tc>
          <w:tcPr>
            <w:tcW w:type="dxa" w:w="3024"/>
          </w:tcPr>
          <w:p>
            <w:r/>
            <w:r>
              <w:rPr>
                <w:rFonts w:ascii="Calibri" w:hAnsi="Calibri" w:eastAsia="Calibri"/>
                <w:b w:val="0"/>
                <w:sz w:val="17"/>
              </w:rPr>
              <w:t>Groups with ≥3 credential changes and ≥2 complaints in 30 days</w:t>
            </w:r>
          </w:p>
        </w:tc>
        <w:tc>
          <w:tcPr>
            <w:tcW w:type="dxa" w:w="3024"/>
          </w:tcPr>
          <w:p>
            <w:r/>
            <w:r>
              <w:rPr>
                <w:rFonts w:ascii="Calibri" w:hAnsi="Calibri" w:eastAsia="Calibri"/>
                <w:b w:val="0"/>
                <w:sz w:val="17"/>
              </w:rPr>
              <w:t>`password_change_log` + `dispute`</w:t>
            </w:r>
          </w:p>
        </w:tc>
      </w:tr>
      <w:tr>
        <w:tc>
          <w:tcPr>
            <w:tcW w:type="dxa" w:w="3024"/>
          </w:tcPr>
          <w:p>
            <w:r/>
            <w:r>
              <w:rPr>
                <w:rFonts w:ascii="Calibri" w:hAnsi="Calibri" w:eastAsia="Calibri"/>
                <w:b w:val="0"/>
                <w:sz w:val="17"/>
              </w:rPr>
              <w:t>Host retention</w:t>
            </w:r>
          </w:p>
        </w:tc>
        <w:tc>
          <w:tcPr>
            <w:tcW w:type="dxa" w:w="3024"/>
          </w:tcPr>
          <w:p>
            <w:r/>
            <w:r>
              <w:rPr>
                <w:rFonts w:ascii="Calibri" w:hAnsi="Calibri" w:eastAsia="Calibri"/>
                <w:b w:val="0"/>
                <w:sz w:val="17"/>
              </w:rPr>
              <w:t>Hosts with a release in each of six consecutive months</w:t>
            </w:r>
          </w:p>
        </w:tc>
        <w:tc>
          <w:tcPr>
            <w:tcW w:type="dxa" w:w="3024"/>
          </w:tcPr>
          <w:p>
            <w:r/>
            <w:r>
              <w:rPr>
                <w:rFonts w:ascii="Calibri" w:hAnsi="Calibri" w:eastAsia="Calibri"/>
                <w:b w:val="0"/>
                <w:sz w:val="17"/>
              </w:rPr>
              <w:t>`monthly_payout_log`</w:t>
            </w:r>
          </w:p>
        </w:tc>
      </w:tr>
      <w:tr>
        <w:tc>
          <w:tcPr>
            <w:tcW w:type="dxa" w:w="3024"/>
          </w:tcPr>
          <w:p>
            <w:r/>
            <w:r>
              <w:rPr>
                <w:rFonts w:ascii="Calibri" w:hAnsi="Calibri" w:eastAsia="Calibri"/>
                <w:b w:val="0"/>
                <w:sz w:val="17"/>
              </w:rPr>
              <w:t>Credit distribution</w:t>
            </w:r>
          </w:p>
        </w:tc>
        <w:tc>
          <w:tcPr>
            <w:tcW w:type="dxa" w:w="3024"/>
          </w:tcPr>
          <w:p>
            <w:r/>
            <w:r>
              <w:rPr>
                <w:rFonts w:ascii="Calibri" w:hAnsi="Calibri" w:eastAsia="Calibri"/>
                <w:b w:val="0"/>
                <w:sz w:val="17"/>
              </w:rPr>
              <w:t>Users per score band</w:t>
            </w:r>
          </w:p>
        </w:tc>
        <w:tc>
          <w:tcPr>
            <w:tcW w:type="dxa" w:w="3024"/>
          </w:tcPr>
          <w:p>
            <w:r/>
            <w:r>
              <w:rPr>
                <w:rFonts w:ascii="Calibri" w:hAnsi="Calibri" w:eastAsia="Calibri"/>
                <w:b w:val="0"/>
                <w:sz w:val="17"/>
              </w:rPr>
              <w:t>`app_user.credit_score`</w:t>
            </w:r>
          </w:p>
        </w:tc>
      </w:tr>
    </w:tbl>
    <w:p>
      <w:pPr>
        <w:spacing w:after="40"/>
      </w:pPr>
    </w:p>
    <w:p>
      <w:pPr>
        <w:keepNext/>
        <w:spacing w:before="280" w:after="80"/>
      </w:pPr>
      <w:r>
        <w:rPr>
          <w:rFonts w:ascii="Calibri" w:hAnsi="Calibri" w:eastAsia="Calibri"/>
          <w:b/>
          <w:color w:val="0E2A47"/>
          <w:sz w:val="28"/>
        </w:rPr>
        <w:t>9. Competition</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Alternative</w:t>
            </w:r>
          </w:p>
        </w:tc>
        <w:tc>
          <w:tcPr>
            <w:tcW w:type="dxa" w:w="3024"/>
            <w:shd w:val="clear" w:color="auto" w:fill="0E2A47"/>
          </w:tcPr>
          <w:p>
            <w:r>
              <w:rPr>
                <w:b/>
              </w:rPr>
            </w:r>
            <w:r>
              <w:rPr>
                <w:rFonts w:ascii="Calibri" w:hAnsi="Calibri" w:eastAsia="Calibri"/>
                <w:b/>
                <w:color w:val="FFFFFF"/>
                <w:sz w:val="17"/>
              </w:rPr>
              <w:t>Its advantage</w:t>
            </w:r>
          </w:p>
        </w:tc>
        <w:tc>
          <w:tcPr>
            <w:tcW w:type="dxa" w:w="3024"/>
            <w:shd w:val="clear" w:color="auto" w:fill="0E2A47"/>
          </w:tcPr>
          <w:p>
            <w:r>
              <w:rPr>
                <w:b/>
              </w:rPr>
            </w:r>
            <w:r>
              <w:rPr>
                <w:rFonts w:ascii="Calibri" w:hAnsi="Calibri" w:eastAsia="Calibri"/>
                <w:b/>
                <w:color w:val="FFFFFF"/>
                <w:sz w:val="17"/>
              </w:rPr>
              <w:t>Our difference</w:t>
            </w:r>
          </w:p>
        </w:tc>
      </w:tr>
      <w:tr>
        <w:tc>
          <w:tcPr>
            <w:tcW w:type="dxa" w:w="3024"/>
          </w:tcPr>
          <w:p>
            <w:r/>
            <w:r>
              <w:rPr>
                <w:rFonts w:ascii="Calibri" w:hAnsi="Calibri" w:eastAsia="Calibri"/>
                <w:b w:val="0"/>
                <w:sz w:val="17"/>
              </w:rPr>
              <w:t>Chat-group group buy</w:t>
            </w:r>
          </w:p>
        </w:tc>
        <w:tc>
          <w:tcPr>
            <w:tcW w:type="dxa" w:w="3024"/>
          </w:tcPr>
          <w:p>
            <w:r/>
            <w:r>
              <w:rPr>
                <w:rFonts w:ascii="Calibri" w:hAnsi="Calibri" w:eastAsia="Calibri"/>
                <w:b w:val="0"/>
                <w:sz w:val="17"/>
              </w:rPr>
              <w:t>Free, immediate</w:t>
            </w:r>
          </w:p>
        </w:tc>
        <w:tc>
          <w:tcPr>
            <w:tcW w:type="dxa" w:w="3024"/>
          </w:tcPr>
          <w:p>
            <w:r/>
            <w:r>
              <w:rPr>
                <w:rFonts w:ascii="Calibri" w:hAnsi="Calibri" w:eastAsia="Calibri"/>
                <w:b w:val="0"/>
                <w:sz w:val="17"/>
              </w:rPr>
              <w:t>Escrow, a record, an arbiter</w:t>
            </w:r>
          </w:p>
        </w:tc>
      </w:tr>
      <w:tr>
        <w:tc>
          <w:tcPr>
            <w:tcW w:type="dxa" w:w="3024"/>
          </w:tcPr>
          <w:p>
            <w:r/>
            <w:r>
              <w:rPr>
                <w:rFonts w:ascii="Calibri" w:hAnsi="Calibri" w:eastAsia="Calibri"/>
                <w:b w:val="0"/>
                <w:sz w:val="17"/>
              </w:rPr>
              <w:t>Top-up resellers</w:t>
            </w:r>
          </w:p>
        </w:tc>
        <w:tc>
          <w:tcPr>
            <w:tcW w:type="dxa" w:w="3024"/>
          </w:tcPr>
          <w:p>
            <w:r/>
            <w:r>
              <w:rPr>
                <w:rFonts w:ascii="Calibri" w:hAnsi="Calibri" w:eastAsia="Calibri"/>
                <w:b w:val="0"/>
                <w:sz w:val="17"/>
              </w:rPr>
              <w:t>A platform guarantee</w:t>
            </w:r>
          </w:p>
        </w:tc>
        <w:tc>
          <w:tcPr>
            <w:tcW w:type="dxa" w:w="3024"/>
          </w:tcPr>
          <w:p>
            <w:r/>
            <w:r>
              <w:rPr>
                <w:rFonts w:ascii="Calibri" w:hAnsi="Calibri" w:eastAsia="Calibri"/>
                <w:b w:val="0"/>
                <w:sz w:val="17"/>
              </w:rPr>
              <w:t>Compliant (no account trading), priced per seat</w:t>
            </w:r>
          </w:p>
        </w:tc>
      </w:tr>
      <w:tr>
        <w:tc>
          <w:tcPr>
            <w:tcW w:type="dxa" w:w="3024"/>
          </w:tcPr>
          <w:p>
            <w:r/>
            <w:r>
              <w:rPr>
                <w:rFonts w:ascii="Calibri" w:hAnsi="Calibri" w:eastAsia="Calibri"/>
                <w:b w:val="0"/>
                <w:sz w:val="17"/>
              </w:rPr>
              <w:t>Official family plan</w:t>
            </w:r>
          </w:p>
        </w:tc>
        <w:tc>
          <w:tcPr>
            <w:tcW w:type="dxa" w:w="3024"/>
          </w:tcPr>
          <w:p>
            <w:r/>
            <w:r>
              <w:rPr>
                <w:rFonts w:ascii="Calibri" w:hAnsi="Calibri" w:eastAsia="Calibri"/>
                <w:b w:val="0"/>
                <w:sz w:val="17"/>
              </w:rPr>
              <w:t>Safest</w:t>
            </w:r>
          </w:p>
        </w:tc>
        <w:tc>
          <w:tcPr>
            <w:tcW w:type="dxa" w:w="3024"/>
          </w:tcPr>
          <w:p>
            <w:r/>
            <w:r>
              <w:rPr>
                <w:rFonts w:ascii="Calibri" w:hAnsi="Calibri" w:eastAsia="Calibri"/>
                <w:b w:val="0"/>
                <w:sz w:val="17"/>
              </w:rPr>
              <w:t>Requires an actual family</w:t>
            </w:r>
          </w:p>
        </w:tc>
      </w:tr>
      <w:tr>
        <w:tc>
          <w:tcPr>
            <w:tcW w:type="dxa" w:w="3024"/>
          </w:tcPr>
          <w:p>
            <w:r/>
            <w:r>
              <w:rPr>
                <w:rFonts w:ascii="Calibri" w:hAnsi="Calibri" w:eastAsia="Calibri"/>
                <w:b w:val="0"/>
                <w:sz w:val="17"/>
              </w:rPr>
              <w:t>Individual subscription</w:t>
            </w:r>
          </w:p>
        </w:tc>
        <w:tc>
          <w:tcPr>
            <w:tcW w:type="dxa" w:w="3024"/>
          </w:tcPr>
          <w:p>
            <w:r/>
            <w:r>
              <w:rPr>
                <w:rFonts w:ascii="Calibri" w:hAnsi="Calibri" w:eastAsia="Calibri"/>
                <w:b w:val="0"/>
                <w:sz w:val="17"/>
              </w:rPr>
              <w:t>Nothing to coordinate</w:t>
            </w:r>
          </w:p>
        </w:tc>
        <w:tc>
          <w:tcPr>
            <w:tcW w:type="dxa" w:w="3024"/>
          </w:tcPr>
          <w:p>
            <w:r/>
            <w:r>
              <w:rPr>
                <w:rFonts w:ascii="Calibri" w:hAnsi="Calibri" w:eastAsia="Calibri"/>
                <w:b w:val="0"/>
                <w:sz w:val="17"/>
              </w:rPr>
              <w:t>More than twice the price</w:t>
            </w:r>
          </w:p>
        </w:tc>
      </w:tr>
    </w:tbl>
    <w:p>
      <w:pPr>
        <w:spacing w:after="40"/>
      </w:pPr>
    </w:p>
    <w:p>
      <w:r>
        <w:rPr>
          <w:rFonts w:ascii="Calibri" w:hAnsi="Calibri" w:eastAsia="Calibri"/>
          <w:b/>
          <w:sz w:val="20"/>
        </w:rPr>
        <w:t>The moat is not the technology, it is the record.</w:t>
      </w:r>
      <w:r>
        <w:rPr>
          <w:rFonts w:ascii="Calibri" w:hAnsi="Calibri" w:eastAsia="Calibri"/>
          <w:b w:val="0"/>
          <w:sz w:val="20"/>
        </w:rPr>
        <w:t xml:space="preserve"> A person's history on the platform cannot be carried elsewhere. That is why the credit score must be derived from the ledger and must never be editable by hand.</w:t>
      </w:r>
    </w:p>
    <w:p>
      <w:pPr>
        <w:keepNext/>
        <w:spacing w:before="280" w:after="80"/>
      </w:pPr>
      <w:r>
        <w:rPr>
          <w:rFonts w:ascii="Calibri" w:hAnsi="Calibri" w:eastAsia="Calibri"/>
          <w:b/>
          <w:color w:val="0E2A47"/>
          <w:sz w:val="28"/>
        </w:rPr>
        <w:t>10. Risks, compliance, and what we do about them</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Risk</w:t>
            </w:r>
          </w:p>
        </w:tc>
        <w:tc>
          <w:tcPr>
            <w:tcW w:type="dxa" w:w="3024"/>
            <w:shd w:val="clear" w:color="auto" w:fill="0E2A47"/>
          </w:tcPr>
          <w:p>
            <w:r>
              <w:rPr>
                <w:b/>
              </w:rPr>
            </w:r>
            <w:r>
              <w:rPr>
                <w:rFonts w:ascii="Calibri" w:hAnsi="Calibri" w:eastAsia="Calibri"/>
                <w:b/>
                <w:color w:val="FFFFFF"/>
                <w:sz w:val="17"/>
              </w:rPr>
              <w:t>Impact</w:t>
            </w:r>
          </w:p>
        </w:tc>
        <w:tc>
          <w:tcPr>
            <w:tcW w:type="dxa" w:w="3024"/>
            <w:shd w:val="clear" w:color="auto" w:fill="0E2A47"/>
          </w:tcPr>
          <w:p>
            <w:r>
              <w:rPr>
                <w:b/>
              </w:rPr>
            </w:r>
            <w:r>
              <w:rPr>
                <w:rFonts w:ascii="Calibri" w:hAnsi="Calibri" w:eastAsia="Calibri"/>
                <w:b/>
                <w:color w:val="FFFFFF"/>
                <w:sz w:val="17"/>
              </w:rPr>
              <w:t>Response</w:t>
            </w:r>
          </w:p>
        </w:tc>
      </w:tr>
      <w:tr>
        <w:tc>
          <w:tcPr>
            <w:tcW w:type="dxa" w:w="3024"/>
          </w:tcPr>
          <w:p>
            <w:r/>
            <w:r>
              <w:rPr>
                <w:rFonts w:ascii="Calibri" w:hAnsi="Calibri" w:eastAsia="Calibri"/>
                <w:b w:val="0"/>
                <w:sz w:val="17"/>
              </w:rPr>
              <w:t>Violating a provider's terms</w:t>
            </w:r>
          </w:p>
        </w:tc>
        <w:tc>
          <w:tcPr>
            <w:tcW w:type="dxa" w:w="3024"/>
          </w:tcPr>
          <w:p>
            <w:r/>
            <w:r>
              <w:rPr>
                <w:rFonts w:ascii="Calibri" w:hAnsi="Calibri" w:eastAsia="Calibri"/>
                <w:b w:val="0"/>
                <w:sz w:val="17"/>
              </w:rPr>
              <w:t>Accounts closed, members lose access</w:t>
            </w:r>
          </w:p>
        </w:tc>
        <w:tc>
          <w:tcPr>
            <w:tcW w:type="dxa" w:w="3024"/>
          </w:tcPr>
          <w:p>
            <w:r/>
            <w:r>
              <w:rPr>
                <w:rFonts w:ascii="Calibri" w:hAnsi="Calibri" w:eastAsia="Calibri"/>
                <w:b w:val="0"/>
                <w:sz w:val="17"/>
              </w:rPr>
              <w:t>Position as a cost-sharing tool, not account trading; refundable balance; no account sales</w:t>
            </w:r>
          </w:p>
        </w:tc>
      </w:tr>
      <w:tr>
        <w:tc>
          <w:tcPr>
            <w:tcW w:type="dxa" w:w="3024"/>
          </w:tcPr>
          <w:p>
            <w:r/>
            <w:r>
              <w:rPr>
                <w:rFonts w:ascii="Calibri" w:hAnsi="Calibri" w:eastAsia="Calibri"/>
                <w:b w:val="0"/>
                <w:sz w:val="17"/>
              </w:rPr>
              <w:t>Host absconds with the money</w:t>
            </w:r>
          </w:p>
        </w:tc>
        <w:tc>
          <w:tcPr>
            <w:tcW w:type="dxa" w:w="3024"/>
          </w:tcPr>
          <w:p>
            <w:r/>
            <w:r>
              <w:rPr>
                <w:rFonts w:ascii="Calibri" w:hAnsi="Calibri" w:eastAsia="Calibri"/>
                <w:b w:val="0"/>
                <w:sz w:val="17"/>
              </w:rPr>
              <w:t>Member loses a year</w:t>
            </w:r>
          </w:p>
        </w:tc>
        <w:tc>
          <w:tcPr>
            <w:tcW w:type="dxa" w:w="3024"/>
          </w:tcPr>
          <w:p>
            <w:r/>
            <w:r>
              <w:rPr>
                <w:rFonts w:ascii="Calibri" w:hAnsi="Calibri" w:eastAsia="Calibri"/>
                <w:b w:val="0"/>
                <w:sz w:val="17"/>
              </w:rPr>
              <w:t>Money never reaches the host; monthly release; a complaint freezes the balance</w:t>
            </w:r>
          </w:p>
        </w:tc>
      </w:tr>
      <w:tr>
        <w:tc>
          <w:tcPr>
            <w:tcW w:type="dxa" w:w="3024"/>
          </w:tcPr>
          <w:p>
            <w:r/>
            <w:r>
              <w:rPr>
                <w:rFonts w:ascii="Calibri" w:hAnsi="Calibri" w:eastAsia="Calibri"/>
                <w:b w:val="0"/>
                <w:sz w:val="17"/>
              </w:rPr>
              <w:t>Malicious complaints</w:t>
            </w:r>
          </w:p>
        </w:tc>
        <w:tc>
          <w:tcPr>
            <w:tcW w:type="dxa" w:w="3024"/>
          </w:tcPr>
          <w:p>
            <w:r/>
            <w:r>
              <w:rPr>
                <w:rFonts w:ascii="Calibri" w:hAnsi="Calibri" w:eastAsia="Calibri"/>
                <w:b w:val="0"/>
                <w:sz w:val="17"/>
              </w:rPr>
              <w:t>A host is punished unfairly</w:t>
            </w:r>
          </w:p>
        </w:tc>
        <w:tc>
          <w:tcPr>
            <w:tcW w:type="dxa" w:w="3024"/>
          </w:tcPr>
          <w:p>
            <w:r/>
            <w:r>
              <w:rPr>
                <w:rFonts w:ascii="Calibri" w:hAnsi="Calibri" w:eastAsia="Calibri"/>
                <w:b w:val="0"/>
                <w:sz w:val="17"/>
              </w:rPr>
              <w:t>Manual review; a complaint must name a seat; credit moves only on a decision</w:t>
            </w:r>
          </w:p>
        </w:tc>
      </w:tr>
      <w:tr>
        <w:tc>
          <w:tcPr>
            <w:tcW w:type="dxa" w:w="3024"/>
          </w:tcPr>
          <w:p>
            <w:r/>
            <w:r>
              <w:rPr>
                <w:rFonts w:ascii="Calibri" w:hAnsi="Calibri" w:eastAsia="Calibri"/>
                <w:b w:val="0"/>
                <w:sz w:val="17"/>
              </w:rPr>
              <w:t>The platform itself fails</w:t>
            </w:r>
          </w:p>
        </w:tc>
        <w:tc>
          <w:tcPr>
            <w:tcW w:type="dxa" w:w="3024"/>
          </w:tcPr>
          <w:p>
            <w:r/>
            <w:r>
              <w:rPr>
                <w:rFonts w:ascii="Calibri" w:hAnsi="Calibri" w:eastAsia="Calibri"/>
                <w:b w:val="0"/>
                <w:sz w:val="17"/>
              </w:rPr>
              <w:t>All balances lost</w:t>
            </w:r>
          </w:p>
        </w:tc>
        <w:tc>
          <w:tcPr>
            <w:tcW w:type="dxa" w:w="3024"/>
          </w:tcPr>
          <w:p>
            <w:r/>
            <w:r>
              <w:rPr>
                <w:rFonts w:ascii="Calibri" w:hAnsi="Calibri" w:eastAsia="Calibri"/>
                <w:b w:val="0"/>
                <w:sz w:val="17"/>
              </w:rPr>
              <w:t>Client funds segregated from operating funds (a phase-2 requirement)</w:t>
            </w:r>
          </w:p>
        </w:tc>
      </w:tr>
      <w:tr>
        <w:tc>
          <w:tcPr>
            <w:tcW w:type="dxa" w:w="3024"/>
          </w:tcPr>
          <w:p>
            <w:r/>
            <w:r>
              <w:rPr>
                <w:rFonts w:ascii="Calibri" w:hAnsi="Calibri" w:eastAsia="Calibri"/>
                <w:b w:val="0"/>
                <w:sz w:val="17"/>
              </w:rPr>
              <w:t>Privacy</w:t>
            </w:r>
          </w:p>
        </w:tc>
        <w:tc>
          <w:tcPr>
            <w:tcW w:type="dxa" w:w="3024"/>
          </w:tcPr>
          <w:p>
            <w:r/>
            <w:r>
              <w:rPr>
                <w:rFonts w:ascii="Calibri" w:hAnsi="Calibri" w:eastAsia="Calibri"/>
                <w:b w:val="0"/>
                <w:sz w:val="17"/>
              </w:rPr>
              <w:t>Credential leak</w:t>
            </w:r>
          </w:p>
        </w:tc>
        <w:tc>
          <w:tcPr>
            <w:tcW w:type="dxa" w:w="3024"/>
          </w:tcPr>
          <w:p>
            <w:r/>
            <w:r>
              <w:rPr>
                <w:rFonts w:ascii="Calibri" w:hAnsi="Calibri" w:eastAsia="Calibri"/>
                <w:b w:val="0"/>
                <w:sz w:val="17"/>
              </w:rPr>
              <w:t>Encrypted string only, never plaintext, rotatable at any time</w:t>
            </w:r>
          </w:p>
        </w:tc>
      </w:tr>
    </w:tbl>
    <w:p>
      <w:pPr>
        <w:spacing w:after="40"/>
      </w:pPr>
    </w:p>
    <w:p>
      <w:pPr>
        <w:keepNext/>
        <w:spacing w:before="280" w:after="80"/>
      </w:pPr>
      <w:r>
        <w:rPr>
          <w:rFonts w:ascii="Calibri" w:hAnsi="Calibri" w:eastAsia="Calibri"/>
          <w:b/>
          <w:color w:val="0E2A47"/>
          <w:sz w:val="28"/>
        </w:rPr>
        <w:t>11. Roadmap</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Stage</w:t>
            </w:r>
          </w:p>
        </w:tc>
        <w:tc>
          <w:tcPr>
            <w:tcW w:type="dxa" w:w="3024"/>
            <w:shd w:val="clear" w:color="auto" w:fill="0E2A47"/>
          </w:tcPr>
          <w:p>
            <w:r>
              <w:rPr>
                <w:b/>
              </w:rPr>
            </w:r>
            <w:r>
              <w:rPr>
                <w:rFonts w:ascii="Calibri" w:hAnsi="Calibri" w:eastAsia="Calibri"/>
                <w:b/>
                <w:color w:val="FFFFFF"/>
                <w:sz w:val="17"/>
              </w:rPr>
              <w:t>Goal</w:t>
            </w:r>
          </w:p>
        </w:tc>
        <w:tc>
          <w:tcPr>
            <w:tcW w:type="dxa" w:w="3024"/>
            <w:shd w:val="clear" w:color="auto" w:fill="0E2A47"/>
          </w:tcPr>
          <w:p>
            <w:r>
              <w:rPr>
                <w:b/>
              </w:rPr>
            </w:r>
            <w:r>
              <w:rPr>
                <w:rFonts w:ascii="Calibri" w:hAnsi="Calibri" w:eastAsia="Calibri"/>
                <w:b/>
                <w:color w:val="FFFFFF"/>
                <w:sz w:val="17"/>
              </w:rPr>
              <w:t>Key work</w:t>
            </w:r>
          </w:p>
        </w:tc>
      </w:tr>
      <w:tr>
        <w:tc>
          <w:tcPr>
            <w:tcW w:type="dxa" w:w="3024"/>
          </w:tcPr>
          <w:p>
            <w:r/>
            <w:r>
              <w:rPr>
                <w:rFonts w:ascii="Calibri" w:hAnsi="Calibri" w:eastAsia="Calibri"/>
                <w:b w:val="0"/>
                <w:sz w:val="17"/>
              </w:rPr>
              <w:t>Now</w:t>
            </w:r>
          </w:p>
        </w:tc>
        <w:tc>
          <w:tcPr>
            <w:tcW w:type="dxa" w:w="3024"/>
          </w:tcPr>
          <w:p>
            <w:r/>
            <w:r>
              <w:rPr>
                <w:rFonts w:ascii="Calibri" w:hAnsi="Calibri" w:eastAsia="Calibri"/>
                <w:b w:val="0"/>
                <w:sz w:val="17"/>
              </w:rPr>
              <w:t>A model that runs, data that reconciles</w:t>
            </w:r>
          </w:p>
        </w:tc>
        <w:tc>
          <w:tcPr>
            <w:tcW w:type="dxa" w:w="3024"/>
          </w:tcPr>
          <w:p>
            <w:r/>
            <w:r>
              <w:rPr>
                <w:rFonts w:ascii="Calibri" w:hAnsi="Calibri" w:eastAsia="Calibri"/>
                <w:b w:val="0"/>
                <w:sz w:val="17"/>
              </w:rPr>
              <w:t>11 tables, 12 acceptance checks, 18 queries</w:t>
            </w:r>
          </w:p>
        </w:tc>
      </w:tr>
      <w:tr>
        <w:tc>
          <w:tcPr>
            <w:tcW w:type="dxa" w:w="3024"/>
          </w:tcPr>
          <w:p>
            <w:r/>
            <w:r>
              <w:rPr>
                <w:rFonts w:ascii="Calibri" w:hAnsi="Calibri" w:eastAsia="Calibri"/>
                <w:b w:val="0"/>
                <w:sz w:val="17"/>
              </w:rPr>
              <w:t>Next</w:t>
            </w:r>
          </w:p>
        </w:tc>
        <w:tc>
          <w:tcPr>
            <w:tcW w:type="dxa" w:w="3024"/>
          </w:tcPr>
          <w:p>
            <w:r/>
            <w:r>
              <w:rPr>
                <w:rFonts w:ascii="Calibri" w:hAnsi="Calibri" w:eastAsia="Calibri"/>
                <w:b w:val="0"/>
                <w:sz w:val="17"/>
              </w:rPr>
              <w:t>Real bill verification</w:t>
            </w:r>
          </w:p>
        </w:tc>
        <w:tc>
          <w:tcPr>
            <w:tcW w:type="dxa" w:w="3024"/>
          </w:tcPr>
          <w:p>
            <w:r/>
            <w:r>
              <w:rPr>
                <w:rFonts w:ascii="Calibri" w:hAnsi="Calibri" w:eastAsia="Calibri"/>
                <w:b w:val="0"/>
                <w:sz w:val="17"/>
              </w:rPr>
              <w:t>Provider API instead of manual upload</w:t>
            </w:r>
          </w:p>
        </w:tc>
      </w:tr>
      <w:tr>
        <w:tc>
          <w:tcPr>
            <w:tcW w:type="dxa" w:w="3024"/>
          </w:tcPr>
          <w:p>
            <w:r/>
            <w:r>
              <w:rPr>
                <w:rFonts w:ascii="Calibri" w:hAnsi="Calibri" w:eastAsia="Calibri"/>
                <w:b w:val="0"/>
                <w:sz w:val="17"/>
              </w:rPr>
              <w:t>Then</w:t>
            </w:r>
          </w:p>
        </w:tc>
        <w:tc>
          <w:tcPr>
            <w:tcW w:type="dxa" w:w="3024"/>
          </w:tcPr>
          <w:p>
            <w:r/>
            <w:r>
              <w:rPr>
                <w:rFonts w:ascii="Calibri" w:hAnsi="Calibri" w:eastAsia="Calibri"/>
                <w:b w:val="0"/>
                <w:sz w:val="17"/>
              </w:rPr>
              <w:t>Payments and compliance</w:t>
            </w:r>
          </w:p>
        </w:tc>
        <w:tc>
          <w:tcPr>
            <w:tcW w:type="dxa" w:w="3024"/>
          </w:tcPr>
          <w:p>
            <w:r/>
            <w:r>
              <w:rPr>
                <w:rFonts w:ascii="Calibri" w:hAnsi="Calibri" w:eastAsia="Calibri"/>
                <w:b w:val="0"/>
                <w:sz w:val="17"/>
              </w:rPr>
              <w:t>Real escrow account, split settlement, refunds</w:t>
            </w:r>
          </w:p>
        </w:tc>
      </w:tr>
      <w:tr>
        <w:tc>
          <w:tcPr>
            <w:tcW w:type="dxa" w:w="3024"/>
          </w:tcPr>
          <w:p>
            <w:r/>
            <w:r>
              <w:rPr>
                <w:rFonts w:ascii="Calibri" w:hAnsi="Calibri" w:eastAsia="Calibri"/>
                <w:b w:val="0"/>
                <w:sz w:val="17"/>
              </w:rPr>
              <w:t>Later</w:t>
            </w:r>
          </w:p>
        </w:tc>
        <w:tc>
          <w:tcPr>
            <w:tcW w:type="dxa" w:w="3024"/>
          </w:tcPr>
          <w:p>
            <w:r/>
            <w:r>
              <w:rPr>
                <w:rFonts w:ascii="Calibri" w:hAnsi="Calibri" w:eastAsia="Calibri"/>
                <w:b w:val="0"/>
                <w:sz w:val="17"/>
              </w:rPr>
              <w:t>Growth</w:t>
            </w:r>
          </w:p>
        </w:tc>
        <w:tc>
          <w:tcPr>
            <w:tcW w:type="dxa" w:w="3024"/>
          </w:tcPr>
          <w:p>
            <w:r/>
            <w:r>
              <w:rPr>
                <w:rFonts w:ascii="Calibri" w:hAnsi="Calibri" w:eastAsia="Calibri"/>
                <w:b w:val="0"/>
                <w:sz w:val="17"/>
              </w:rPr>
              <w:t>Referrals, cross-service groups, a business tier</w:t>
            </w:r>
          </w:p>
        </w:tc>
      </w:tr>
    </w:tbl>
    <w:p>
      <w:pPr>
        <w:spacing w:after="40"/>
      </w:pPr>
    </w:p>
    <w:p>
      <w:pPr>
        <w:keepNext/>
        <w:spacing w:before="280" w:after="80"/>
      </w:pPr>
      <w:r>
        <w:rPr>
          <w:rFonts w:ascii="Calibri" w:hAnsi="Calibri" w:eastAsia="Calibri"/>
          <w:b/>
          <w:color w:val="0E2A47"/>
          <w:sz w:val="28"/>
        </w:rPr>
        <w:t>12. Appendix — feature ↔ table ↔ query</w:t>
      </w:r>
    </w:p>
    <w:tbl>
      <w:tblPr>
        <w:tblStyle w:val="TableGrid"/>
        <w:tblW w:type="auto" w:w="0"/>
        <w:jc w:val="center"/>
        <w:tblLayout w:type="fixed"/>
        <w:tblLook w:firstColumn="1" w:firstRow="1" w:lastColumn="0" w:lastRow="0" w:noHBand="0" w:noVBand="1" w:val="04A0"/>
        <w:tblLayout w:type="fixed"/>
      </w:tblPr>
      <w:tblGrid>
        <w:gridCol w:w="3024"/>
        <w:gridCol w:w="3024"/>
        <w:gridCol w:w="3024"/>
      </w:tblGrid>
      <w:tr>
        <w:tc>
          <w:tcPr>
            <w:tcW w:type="dxa" w:w="3024"/>
            <w:shd w:val="clear" w:color="auto" w:fill="0E2A47"/>
          </w:tcPr>
          <w:p>
            <w:r>
              <w:rPr>
                <w:b/>
              </w:rPr>
            </w:r>
            <w:r>
              <w:rPr>
                <w:rFonts w:ascii="Calibri" w:hAnsi="Calibri" w:eastAsia="Calibri"/>
                <w:b/>
                <w:color w:val="FFFFFF"/>
                <w:sz w:val="17"/>
              </w:rPr>
              <w:t>Feature</w:t>
            </w:r>
          </w:p>
        </w:tc>
        <w:tc>
          <w:tcPr>
            <w:tcW w:type="dxa" w:w="3024"/>
            <w:shd w:val="clear" w:color="auto" w:fill="0E2A47"/>
          </w:tcPr>
          <w:p>
            <w:r>
              <w:rPr>
                <w:b/>
              </w:rPr>
            </w:r>
            <w:r>
              <w:rPr>
                <w:rFonts w:ascii="Calibri" w:hAnsi="Calibri" w:eastAsia="Calibri"/>
                <w:b/>
                <w:color w:val="FFFFFF"/>
                <w:sz w:val="17"/>
              </w:rPr>
              <w:t>Lives in</w:t>
            </w:r>
          </w:p>
        </w:tc>
        <w:tc>
          <w:tcPr>
            <w:tcW w:type="dxa" w:w="3024"/>
            <w:shd w:val="clear" w:color="auto" w:fill="0E2A47"/>
          </w:tcPr>
          <w:p>
            <w:r>
              <w:rPr>
                <w:b/>
              </w:rPr>
            </w:r>
            <w:r>
              <w:rPr>
                <w:rFonts w:ascii="Calibri" w:hAnsi="Calibri" w:eastAsia="Calibri"/>
                <w:b/>
                <w:color w:val="FFFFFF"/>
                <w:sz w:val="17"/>
              </w:rPr>
              <w:t>Verified by</w:t>
            </w:r>
          </w:p>
        </w:tc>
      </w:tr>
      <w:tr>
        <w:tc>
          <w:tcPr>
            <w:tcW w:type="dxa" w:w="3024"/>
          </w:tcPr>
          <w:p>
            <w:r/>
            <w:r>
              <w:rPr>
                <w:rFonts w:ascii="Calibri" w:hAnsi="Calibri" w:eastAsia="Calibri"/>
                <w:b w:val="0"/>
                <w:sz w:val="17"/>
              </w:rPr>
              <w:t>Group creation and pricing</w:t>
            </w:r>
          </w:p>
        </w:tc>
        <w:tc>
          <w:tcPr>
            <w:tcW w:type="dxa" w:w="3024"/>
          </w:tcPr>
          <w:p>
            <w:r/>
            <w:r>
              <w:rPr>
                <w:rFonts w:ascii="Calibri" w:hAnsi="Calibri" w:eastAsia="Calibri"/>
                <w:b w:val="0"/>
                <w:sz w:val="17"/>
              </w:rPr>
              <w:t>`carpool_group` + `digital_service`</w:t>
            </w:r>
          </w:p>
        </w:tc>
        <w:tc>
          <w:tcPr>
            <w:tcW w:type="dxa" w:w="3024"/>
          </w:tcPr>
          <w:p>
            <w:r/>
            <w:r>
              <w:rPr>
                <w:rFonts w:ascii="Calibri" w:hAnsi="Calibri" w:eastAsia="Calibri"/>
                <w:b w:val="0"/>
                <w:sz w:val="17"/>
              </w:rPr>
              <w:t>Q01 precise seat hunting, Q07 price comparison</w:t>
            </w:r>
          </w:p>
        </w:tc>
      </w:tr>
      <w:tr>
        <w:tc>
          <w:tcPr>
            <w:tcW w:type="dxa" w:w="3024"/>
          </w:tcPr>
          <w:p>
            <w:r/>
            <w:r>
              <w:rPr>
                <w:rFonts w:ascii="Calibri" w:hAnsi="Calibri" w:eastAsia="Calibri"/>
                <w:b w:val="0"/>
                <w:sz w:val="17"/>
              </w:rPr>
              <w:t>Seats and the twelve-month window</w:t>
            </w:r>
          </w:p>
        </w:tc>
        <w:tc>
          <w:tcPr>
            <w:tcW w:type="dxa" w:w="3024"/>
          </w:tcPr>
          <w:p>
            <w:r/>
            <w:r>
              <w:rPr>
                <w:rFonts w:ascii="Calibri" w:hAnsi="Calibri" w:eastAsia="Calibri"/>
                <w:b w:val="0"/>
                <w:sz w:val="17"/>
              </w:rPr>
              <w:t>`membership_seat`</w:t>
            </w:r>
          </w:p>
        </w:tc>
        <w:tc>
          <w:tcPr>
            <w:tcW w:type="dxa" w:w="3024"/>
          </w:tcPr>
          <w:p>
            <w:r/>
            <w:r>
              <w:rPr>
                <w:rFonts w:ascii="Calibri" w:hAnsi="Calibri" w:eastAsia="Calibri"/>
                <w:b w:val="0"/>
                <w:sz w:val="17"/>
              </w:rPr>
              <w:t>Q06 one member's seats</w:t>
            </w:r>
          </w:p>
        </w:tc>
      </w:tr>
      <w:tr>
        <w:tc>
          <w:tcPr>
            <w:tcW w:type="dxa" w:w="3024"/>
          </w:tcPr>
          <w:p>
            <w:r/>
            <w:r>
              <w:rPr>
                <w:rFonts w:ascii="Calibri" w:hAnsi="Calibri" w:eastAsia="Calibri"/>
                <w:b w:val="0"/>
                <w:sz w:val="17"/>
              </w:rPr>
              <w:t>Prepayment and balance</w:t>
            </w:r>
          </w:p>
        </w:tc>
        <w:tc>
          <w:tcPr>
            <w:tcW w:type="dxa" w:w="3024"/>
          </w:tcPr>
          <w:p>
            <w:r/>
            <w:r>
              <w:rPr>
                <w:rFonts w:ascii="Calibri" w:hAnsi="Calibri" w:eastAsia="Calibri"/>
                <w:b w:val="0"/>
                <w:sz w:val="17"/>
              </w:rPr>
              <w:t>`escrow_payment`</w:t>
            </w:r>
          </w:p>
        </w:tc>
        <w:tc>
          <w:tcPr>
            <w:tcW w:type="dxa" w:w="3024"/>
          </w:tcPr>
          <w:p>
            <w:r/>
            <w:r>
              <w:rPr>
                <w:rFonts w:ascii="Calibri" w:hAnsi="Calibri" w:eastAsia="Calibri"/>
                <w:b w:val="0"/>
                <w:sz w:val="17"/>
              </w:rPr>
              <w:t>Q11 balance audit</w:t>
            </w:r>
          </w:p>
        </w:tc>
      </w:tr>
      <w:tr>
        <w:tc>
          <w:tcPr>
            <w:tcW w:type="dxa" w:w="3024"/>
          </w:tcPr>
          <w:p>
            <w:r/>
            <w:r>
              <w:rPr>
                <w:rFonts w:ascii="Calibri" w:hAnsi="Calibri" w:eastAsia="Calibri"/>
                <w:b w:val="0"/>
                <w:sz w:val="17"/>
              </w:rPr>
              <w:t>Monthly release and fee</w:t>
            </w:r>
          </w:p>
        </w:tc>
        <w:tc>
          <w:tcPr>
            <w:tcW w:type="dxa" w:w="3024"/>
          </w:tcPr>
          <w:p>
            <w:r/>
            <w:r>
              <w:rPr>
                <w:rFonts w:ascii="Calibri" w:hAnsi="Calibri" w:eastAsia="Calibri"/>
                <w:b w:val="0"/>
                <w:sz w:val="17"/>
              </w:rPr>
              <w:t>`monthly_payout_log`</w:t>
            </w:r>
          </w:p>
        </w:tc>
        <w:tc>
          <w:tcPr>
            <w:tcW w:type="dxa" w:w="3024"/>
          </w:tcPr>
          <w:p>
            <w:r/>
            <w:r>
              <w:rPr>
                <w:rFonts w:ascii="Calibri" w:hAnsi="Calibri" w:eastAsia="Calibri"/>
                <w:b w:val="0"/>
                <w:sz w:val="17"/>
              </w:rPr>
              <w:t>Q04 MRR, Q17 month-over-month</w:t>
            </w:r>
          </w:p>
        </w:tc>
      </w:tr>
      <w:tr>
        <w:tc>
          <w:tcPr>
            <w:tcW w:type="dxa" w:w="3024"/>
          </w:tcPr>
          <w:p>
            <w:r/>
            <w:r>
              <w:rPr>
                <w:rFonts w:ascii="Calibri" w:hAnsi="Calibri" w:eastAsia="Calibri"/>
                <w:b w:val="0"/>
                <w:sz w:val="17"/>
              </w:rPr>
              <w:t>Credential history</w:t>
            </w:r>
          </w:p>
        </w:tc>
        <w:tc>
          <w:tcPr>
            <w:tcW w:type="dxa" w:w="3024"/>
          </w:tcPr>
          <w:p>
            <w:r/>
            <w:r>
              <w:rPr>
                <w:rFonts w:ascii="Calibri" w:hAnsi="Calibri" w:eastAsia="Calibri"/>
                <w:b w:val="0"/>
                <w:sz w:val="17"/>
              </w:rPr>
              <w:t>`password_change_log`</w:t>
            </w:r>
          </w:p>
        </w:tc>
        <w:tc>
          <w:tcPr>
            <w:tcW w:type="dxa" w:w="3024"/>
          </w:tcPr>
          <w:p>
            <w:r/>
            <w:r>
              <w:rPr>
                <w:rFonts w:ascii="Calibri" w:hAnsi="Calibri" w:eastAsia="Calibri"/>
                <w:b w:val="0"/>
                <w:sz w:val="17"/>
              </w:rPr>
              <w:t>Q05 risk control</w:t>
            </w:r>
          </w:p>
        </w:tc>
      </w:tr>
      <w:tr>
        <w:tc>
          <w:tcPr>
            <w:tcW w:type="dxa" w:w="3024"/>
          </w:tcPr>
          <w:p>
            <w:r/>
            <w:r>
              <w:rPr>
                <w:rFonts w:ascii="Calibri" w:hAnsi="Calibri" w:eastAsia="Calibri"/>
                <w:b w:val="0"/>
                <w:sz w:val="17"/>
              </w:rPr>
              <w:t>Complaints and review</w:t>
            </w:r>
          </w:p>
        </w:tc>
        <w:tc>
          <w:tcPr>
            <w:tcW w:type="dxa" w:w="3024"/>
          </w:tcPr>
          <w:p>
            <w:r/>
            <w:r>
              <w:rPr>
                <w:rFonts w:ascii="Calibri" w:hAnsi="Calibri" w:eastAsia="Calibri"/>
                <w:b w:val="0"/>
                <w:sz w:val="17"/>
              </w:rPr>
              <w:t>`dispute`</w:t>
            </w:r>
          </w:p>
        </w:tc>
        <w:tc>
          <w:tcPr>
            <w:tcW w:type="dxa" w:w="3024"/>
          </w:tcPr>
          <w:p>
            <w:r/>
            <w:r>
              <w:rPr>
                <w:rFonts w:ascii="Calibri" w:hAnsi="Calibri" w:eastAsia="Calibri"/>
                <w:b w:val="0"/>
                <w:sz w:val="17"/>
              </w:rPr>
              <w:t>Q16 complaint mix, Q09 refund rate</w:t>
            </w:r>
          </w:p>
        </w:tc>
      </w:tr>
      <w:tr>
        <w:tc>
          <w:tcPr>
            <w:tcW w:type="dxa" w:w="3024"/>
          </w:tcPr>
          <w:p>
            <w:r/>
            <w:r>
              <w:rPr>
                <w:rFonts w:ascii="Calibri" w:hAnsi="Calibri" w:eastAsia="Calibri"/>
                <w:b w:val="0"/>
                <w:sz w:val="17"/>
              </w:rPr>
              <w:t>Credit score</w:t>
            </w:r>
          </w:p>
        </w:tc>
        <w:tc>
          <w:tcPr>
            <w:tcW w:type="dxa" w:w="3024"/>
          </w:tcPr>
          <w:p>
            <w:r/>
            <w:r>
              <w:rPr>
                <w:rFonts w:ascii="Calibri" w:hAnsi="Calibri" w:eastAsia="Calibri"/>
                <w:b w:val="0"/>
                <w:sz w:val="17"/>
              </w:rPr>
              <w:t>`credit_event`</w:t>
            </w:r>
          </w:p>
        </w:tc>
        <w:tc>
          <w:tcPr>
            <w:tcW w:type="dxa" w:w="3024"/>
          </w:tcPr>
          <w:p>
            <w:r/>
            <w:r>
              <w:rPr>
                <w:rFonts w:ascii="Calibri" w:hAnsi="Calibri" w:eastAsia="Calibri"/>
                <w:b w:val="0"/>
                <w:sz w:val="17"/>
              </w:rPr>
              <w:t>Q14 low-credit hosts</w:t>
            </w:r>
          </w:p>
        </w:tc>
      </w:tr>
      <w:tr>
        <w:tc>
          <w:tcPr>
            <w:tcW w:type="dxa" w:w="3024"/>
          </w:tcPr>
          <w:p>
            <w:r/>
            <w:r>
              <w:rPr>
                <w:rFonts w:ascii="Calibri" w:hAnsi="Calibri" w:eastAsia="Calibri"/>
                <w:b w:val="0"/>
                <w:sz w:val="17"/>
              </w:rPr>
              <w:t>Payment instruments</w:t>
            </w:r>
          </w:p>
        </w:tc>
        <w:tc>
          <w:tcPr>
            <w:tcW w:type="dxa" w:w="3024"/>
          </w:tcPr>
          <w:p>
            <w:r/>
            <w:r>
              <w:rPr>
                <w:rFonts w:ascii="Calibri" w:hAnsi="Calibri" w:eastAsia="Calibri"/>
                <w:b w:val="0"/>
                <w:sz w:val="17"/>
              </w:rPr>
              <w:t>`payment_method`</w:t>
            </w:r>
          </w:p>
        </w:tc>
        <w:tc>
          <w:tcPr>
            <w:tcW w:type="dxa" w:w="3024"/>
          </w:tcPr>
          <w:p>
            <w:r/>
            <w:r>
              <w:rPr>
                <w:rFonts w:ascii="Calibri" w:hAnsi="Calibri" w:eastAsia="Calibri"/>
                <w:b w:val="0"/>
                <w:sz w:val="17"/>
              </w:rPr>
              <w:t>constraint C08 (one default)</w:t>
            </w:r>
          </w:p>
        </w:tc>
      </w:tr>
      <w:tr>
        <w:tc>
          <w:tcPr>
            <w:tcW w:type="dxa" w:w="3024"/>
          </w:tcPr>
          <w:p>
            <w:r/>
            <w:r>
              <w:rPr>
                <w:rFonts w:ascii="Calibri" w:hAnsi="Calibri" w:eastAsia="Calibri"/>
                <w:b w:val="0"/>
                <w:sz w:val="17"/>
              </w:rPr>
              <w:t>Seat ceiling</w:t>
            </w:r>
          </w:p>
        </w:tc>
        <w:tc>
          <w:tcPr>
            <w:tcW w:type="dxa" w:w="3024"/>
          </w:tcPr>
          <w:p>
            <w:r/>
            <w:r>
              <w:rPr>
                <w:rFonts w:ascii="Calibri" w:hAnsi="Calibri" w:eastAsia="Calibri"/>
                <w:b w:val="0"/>
                <w:sz w:val="17"/>
              </w:rPr>
              <w:t>trigger + `digital_service.max_seats`</w:t>
            </w:r>
          </w:p>
        </w:tc>
        <w:tc>
          <w:tcPr>
            <w:tcW w:type="dxa" w:w="3024"/>
          </w:tcPr>
          <w:p>
            <w:r/>
            <w:r>
              <w:rPr>
                <w:rFonts w:ascii="Calibri" w:hAnsi="Calibri" w:eastAsia="Calibri"/>
                <w:b w:val="0"/>
                <w:sz w:val="17"/>
              </w:rPr>
              <w:t>fault injection #1</w:t>
            </w:r>
          </w:p>
        </w:tc>
      </w:tr>
    </w:tbl>
    <w:p>
      <w:pPr>
        <w:spacing w:after="40"/>
      </w:pPr>
    </w:p>
    <w:p>
      <w:r>
        <w:rPr>
          <w:rFonts w:ascii="Calibri" w:hAnsi="Calibri" w:eastAsia="Calibri"/>
          <w:b/>
          <w:sz w:val="20"/>
        </w:rPr>
        <w:t>In one sentence:</w:t>
      </w:r>
      <w:r>
        <w:rPr>
          <w:rFonts w:ascii="Calibri" w:hAnsi="Calibri" w:eastAsia="Calibri"/>
          <w:b w:val="0"/>
          <w:sz w:val="20"/>
        </w:rPr>
        <w:t xml:space="preserve"> every feature in this document points at a specific table, and every number in it can be recomputed by a query.</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