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微软雅黑" w:hAnsi="微软雅黑" w:eastAsia="微软雅黑"/>
          <w:b/>
          <w:color w:val="0E2A47"/>
          <w:sz w:val="52"/>
        </w:rPr>
        <w:t>文件说明</w:t>
      </w:r>
    </w:p>
    <w:p>
      <w:pPr>
        <w:spacing w:after="40"/>
      </w:pPr>
      <w:r>
        <w:rPr>
          <w:rFonts w:ascii="微软雅黑" w:hAnsi="微软雅黑" w:eastAsia="微软雅黑"/>
          <w:color w:val="5A6B7B"/>
          <w:sz w:val="26"/>
        </w:rPr>
        <w:t>LinkedIn 招聘闭环 · 逆向工程</w:t>
      </w:r>
    </w:p>
    <w:p>
      <w:pPr>
        <w:spacing w:after="320"/>
      </w:pPr>
      <w:r>
        <w:rPr>
          <w:rFonts w:ascii="微软雅黑" w:hAnsi="微软雅黑" w:eastAsia="微软雅黑"/>
          <w:color w:val="5A6B7B"/>
          <w:sz w:val="18"/>
        </w:rPr>
        <w:t>DOTE 6751 数据库系统 · 小组作业 · 2026 年 11 月</w:t>
      </w:r>
    </w:p>
    <w:p>
      <w:pPr>
        <w:spacing w:after="160"/>
      </w:pPr>
      <w:r>
        <w:rPr>
          <w:rFonts w:ascii="微软雅黑" w:hAnsi="微软雅黑" w:eastAsia="微软雅黑"/>
          <w:i w:val="0"/>
          <w:sz w:val="21"/>
        </w:rPr>
        <w:t>这份文件是整套交付的地图：每个文件是什么、怎么重建、怎么验证、老师问起时递哪一份。</w:t>
      </w:r>
    </w:p>
    <w:p>
      <w:pPr>
        <w:keepNext/>
        <w:spacing w:before="320" w:after="120"/>
      </w:pPr>
      <w:r>
        <w:rPr>
          <w:rFonts w:ascii="微软雅黑" w:hAnsi="微软雅黑" w:eastAsia="微软雅黑"/>
          <w:b/>
          <w:color w:val="0E2A47"/>
          <w:sz w:val="30"/>
        </w:rPr>
        <w:t>一、目录地图</w:t>
      </w:r>
    </w:p>
    <w:p>
      <w:pPr>
        <w:spacing w:after="80"/>
      </w:pPr>
      <w:r>
        <w:rPr>
          <w:rFonts w:ascii="微软雅黑" w:hAnsi="微软雅黑" w:eastAsia="微软雅黑"/>
          <w:i/>
          <w:color w:val="5A6B7B"/>
          <w:sz w:val="18"/>
        </w:rPr>
        <w:t>直接扫描文件夹生成，所以清单和实际文件一致。</w:t>
      </w:r>
    </w:p>
    <w:p>
      <w:pPr>
        <w:spacing w:after="160"/>
      </w:pPr>
      <w:r>
        <w:rPr>
          <w:rFonts w:ascii="Consolas" w:hAnsi="Consolas" w:eastAsia="微软雅黑"/>
          <w:i w:val="0"/>
          <w:sz w:val="15"/>
        </w:rPr>
        <w:t>DOTE6751_LinkedIn/</w:t>
        <w:br/>
        <w:t xml:space="preserve">  README.md   (1 KB)</w:t>
        <w:br/>
        <w:t xml:space="preserve">  File_Guide_文件阅读指南/</w:t>
        <w:br/>
        <w:t xml:space="preserve">    File_Guide.docx   (42 KB)</w:t>
        <w:br/>
        <w:t xml:space="preserve">    File_Guide.pdf   (198 KB)</w:t>
        <w:br/>
        <w:t xml:space="preserve">    File_Guide_CN.docx   (43 KB)</w:t>
        <w:br/>
        <w:t xml:space="preserve">    File_Guide_CN.pdf   (393 KB)</w:t>
        <w:br/>
        <w:t xml:space="preserve">  Product_Spec/</w:t>
        <w:br/>
        <w:t xml:space="preserve">    Product_Spec_CN.docx   (42 KB)</w:t>
        <w:br/>
        <w:t xml:space="preserve">    Product_Spec_CN.md   (8 KB)</w:t>
        <w:br/>
        <w:t xml:space="preserve">    Product_Spec_EN.docx   (41 KB)</w:t>
        <w:br/>
        <w:t xml:space="preserve">    Product_Spec_EN.md   (8 KB)</w:t>
        <w:br/>
        <w:t xml:space="preserve">  build/</w:t>
        <w:br/>
        <w:t xml:space="preserve">    README.md   (2 KB)</w:t>
        <w:br/>
        <w:t xml:space="preserve">    build_all.py   (2 KB)</w:t>
        <w:br/>
        <w:t xml:space="preserve">    build_deck.py   (44 KB)</w:t>
        <w:br/>
        <w:t xml:space="preserve">    build_file_guide.py   (23 KB)</w:t>
        <w:br/>
        <w:t xml:space="preserve">    build_narrative_docx.py   (15 KB)</w:t>
        <w:br/>
        <w:t xml:space="preserve">    build_queries.py   (4 KB)</w:t>
        <w:br/>
        <w:t xml:space="preserve">    erd.py   (15 KB)</w:t>
        <w:br/>
        <w:t xml:space="preserve">    fault_injection.py   (5 KB)</w:t>
        <w:br/>
        <w:t xml:space="preserve">    gen_normalization_xlsx.py   (24 KB)</w:t>
        <w:br/>
        <w:t xml:space="preserve">    gen_seed.py   (42 KB)</w:t>
        <w:br/>
        <w:t xml:space="preserve">    queries_template.sql   (23 KB)</w:t>
        <w:br/>
        <w:t xml:space="preserve">    run_queries.py   (2 KB)</w:t>
        <w:br/>
        <w:t xml:space="preserve">    verify_data.py   (8 KB)</w:t>
        <w:br/>
        <w:t xml:space="preserve">  design/</w:t>
        <w:br/>
        <w:t xml:space="preserve">    Constraint_Inventory.md   (10 KB)</w:t>
        <w:br/>
        <w:t xml:space="preserve">    Design_Rationale.md   (12 KB)</w:t>
        <w:br/>
        <w:t xml:space="preserve">    Entity_Relationship_Catalog.md   (13 KB)</w:t>
        <w:br/>
        <w:t xml:space="preserve">    Normalization_Proof.xlsx   (29 KB)</w:t>
        <w:br/>
        <w:t xml:space="preserve">    Relational_Schema.md   (11 KB)</w:t>
        <w:br/>
        <w:t xml:space="preserve">    Requirements.md   (8 KB)</w:t>
        <w:br/>
        <w:t xml:space="preserve">  erd/</w:t>
        <w:br/>
        <w:t xml:space="preserve">    ERD_conceptual.png   (359 KB)</w:t>
        <w:br/>
        <w:t xml:space="preserve">    ERD_conceptual.svg   (83 KB)</w:t>
        <w:br/>
        <w:t xml:space="preserve">    ERD_logical_full.png   (267 KB)</w:t>
        <w:br/>
        <w:t xml:space="preserve">    ERD_logical_full.svg   (179 KB)</w:t>
        <w:br/>
        <w:t xml:space="preserve">    ERD_module_demand.png   (135 KB)</w:t>
        <w:br/>
        <w:t xml:space="preserve">    ERD_module_demand.svg   (92 KB)</w:t>
        <w:br/>
        <w:t xml:space="preserve">    ERD_module_hiring_loop.png   (152 KB)</w:t>
        <w:br/>
        <w:t xml:space="preserve">    ERD_module_hiring_loop.svg   (103 KB)</w:t>
        <w:br/>
        <w:t xml:space="preserve">    ERD_module_identity.png   (124 KB)</w:t>
        <w:br/>
        <w:t xml:space="preserve">    ERD_module_identity.svg   (97 KB)</w:t>
        <w:br/>
        <w:t xml:space="preserve">  query_results/</w:t>
        <w:br/>
        <w:t xml:space="preserve">    _consistency_report.json   (3 KB)</w:t>
        <w:br/>
        <w:t xml:space="preserve">    _summary.json   (6 KB)</w:t>
        <w:br/>
        <w:t xml:space="preserve">    q01_result.csv   (&lt;1 KB)</w:t>
        <w:br/>
        <w:t xml:space="preserve">    q01_result.png   (84 KB)</w:t>
        <w:br/>
        <w:t xml:space="preserve">    q02_result.csv   (&lt;1 KB)</w:t>
        <w:br/>
        <w:t xml:space="preserve">    q02_result.png   (100 KB)</w:t>
        <w:br/>
        <w:t xml:space="preserve">    q03_result.csv   (2 KB)</w:t>
        <w:br/>
        <w:t xml:space="preserve">    q04_result.csv   (&lt;1 KB)</w:t>
        <w:br/>
        <w:t xml:space="preserve">    q05_result.csv   (&lt;1 KB)</w:t>
        <w:br/>
        <w:t xml:space="preserve">    q05_result.png   (70 KB)</w:t>
        <w:br/>
        <w:t xml:space="preserve">    q06_result.csv   (&lt;1 KB)</w:t>
        <w:br/>
        <w:t xml:space="preserve">    q07_result.csv   (&lt;1 KB)</w:t>
        <w:br/>
        <w:t xml:space="preserve">    q08_result.csv   (&lt;1 KB)</w:t>
        <w:br/>
        <w:t xml:space="preserve">    q09_result.csv   (&lt;1 KB)</w:t>
        <w:br/>
        <w:t xml:space="preserve">    q09_result.png   (76 KB)</w:t>
        <w:br/>
        <w:t xml:space="preserve">    q10_result.csv   (&lt;1 KB)</w:t>
        <w:br/>
        <w:t xml:space="preserve">    q11_result.csv   (&lt;1 KB)</w:t>
        <w:br/>
        <w:t xml:space="preserve">    q12_result.csv   (&lt;1 KB)</w:t>
        <w:br/>
        <w:t xml:space="preserve">    q12_result.png   (73 KB)</w:t>
        <w:br/>
        <w:t xml:space="preserve">    q13_result.csv   (&lt;1 KB)</w:t>
        <w:br/>
        <w:t xml:space="preserve">    q14_result.csv   (&lt;1 KB)</w:t>
        <w:br/>
        <w:t xml:space="preserve">    q15_result.csv   (1 KB)</w:t>
        <w:br/>
        <w:t xml:space="preserve">    q16_result.csv   (&lt;1 KB)</w:t>
        <w:br/>
        <w:t xml:space="preserve">    q17_result.csv   (1 KB)</w:t>
        <w:br/>
        <w:t xml:space="preserve">    q18_result.csv   (&lt;1 KB)</w:t>
        <w:br/>
        <w:t xml:space="preserve">    q18_result.png   (75 KB)</w:t>
        <w:br/>
        <w:t xml:space="preserve">  slides/</w:t>
        <w:br/>
        <w:t xml:space="preserve">    LinkedIn.pptx   (1001 KB)</w:t>
        <w:br/>
        <w:t xml:space="preserve">    LinkedIn_CN.pptx   (1003 KB)</w:t>
        <w:br/>
        <w:t xml:space="preserve">    LinkedIn_Narrative.docx   (41 KB)</w:t>
        <w:br/>
        <w:t xml:space="preserve">    LinkedIn_Narrative.pdf   (95 KB)</w:t>
        <w:br/>
        <w:t xml:space="preserve">    Presentation_Script.md   (10 KB)</w:t>
        <w:br/>
        <w:t xml:space="preserve">    QA_Prep.md   (8 KB)</w:t>
        <w:br/>
        <w:t xml:space="preserve">    Task_Allocation.md   (7 KB)</w:t>
        <w:br/>
        <w:t xml:space="preserve">  sql/</w:t>
        <w:br/>
        <w:t xml:space="preserve">    00_run_all.sql   (&lt;1 KB)</w:t>
        <w:br/>
        <w:t xml:space="preserve">    01_schema.sql   (17 KB)</w:t>
        <w:br/>
        <w:t xml:space="preserve">    02_seed.sql   (298 KB)</w:t>
        <w:br/>
        <w:t xml:space="preserve">    03_queries.sql   (23 KB)</w:t>
        <w:br/>
        <w:t xml:space="preserve">    04_views_triggers.sql   (10 KB)</w:t>
        <w:br/>
        <w:t xml:space="preserve">    05_transactions.sql   (4 KB)</w:t>
        <w:br/>
        <w:t xml:space="preserve">    06_checks.sql   (5 KB)</w:t>
        <w:br/>
        <w:t xml:space="preserve">    linkedin_db_full.sql   (274 KB)</w:t>
      </w:r>
    </w:p>
    <w:p>
      <w:pPr>
        <w:keepNext/>
        <w:spacing w:before="320" w:after="120"/>
      </w:pPr>
      <w:r>
        <w:rPr>
          <w:rFonts w:ascii="微软雅黑" w:hAnsi="微软雅黑" w:eastAsia="微软雅黑"/>
          <w:b/>
          <w:color w:val="0E2A47"/>
          <w:sz w:val="30"/>
        </w:rPr>
        <w:t>二、每个文件是干什么的</w:t>
      </w:r>
    </w:p>
    <w:p>
      <w:pPr>
        <w:spacing w:after="120"/>
      </w:pPr>
      <w:r>
        <w:rPr>
          <w:rFonts w:ascii="微软雅黑" w:hAnsi="微软雅黑" w:eastAsia="微软雅黑"/>
          <w:i w:val="0"/>
          <w:sz w:val="19"/>
        </w:rPr>
        <w:t>按文件夹排列。“什么时候打开”才是实用的问题。</w:t>
      </w:r>
    </w:p>
    <w:p>
      <w:pPr>
        <w:keepNext/>
        <w:spacing w:before="200" w:after="60"/>
      </w:pPr>
      <w:r>
        <w:rPr>
          <w:rFonts w:ascii="微软雅黑" w:hAnsi="微软雅黑" w:eastAsia="微软雅黑"/>
          <w:b/>
          <w:color w:val="0E2A47"/>
          <w:sz w:val="23"/>
        </w:rPr>
        <w:t>根目录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大小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是什么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里面是什么 / 什么时候打开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README.md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快速导航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三句话说明这个包是什么、从哪看起。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微软雅黑" w:hAnsi="微软雅黑" w:eastAsia="微软雅黑"/>
          <w:b/>
          <w:color w:val="0E2A47"/>
          <w:sz w:val="23"/>
        </w:rPr>
        <w:t>File_Guide_文件阅读指南/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大小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是什么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里面是什么 / 什么时候打开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File_Guide.docx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42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File_Guide.pdf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198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File_Guide_CN.docx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43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File_Guide_CN.pdf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393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微软雅黑" w:hAnsi="微软雅黑" w:eastAsia="微软雅黑"/>
          <w:b/>
          <w:color w:val="0E2A47"/>
          <w:sz w:val="23"/>
        </w:rPr>
        <w:t>Product_Spec/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大小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是什么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里面是什么 / 什么时候打开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Product_Spec_CN.docx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42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产品说明书（中文）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定位、愿景、替代方案、用户场景、功能清单、单位经济、指标、风险、路线图、功能↔表对照。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Product_Spec_CN.md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8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产品说明书（中文源文件）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同上，Markdown 源文件，便于修改。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Product_Spec_EN.docx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41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产品说明书（英文）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同上，英文版。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Product_Spec_EN.md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8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产品说明书（英文源文件）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同上，Markdown 源文件。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微软雅黑" w:hAnsi="微软雅黑" w:eastAsia="微软雅黑"/>
          <w:b/>
          <w:color w:val="0E2A47"/>
          <w:sz w:val="23"/>
        </w:rPr>
        <w:t>build/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大小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是什么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里面是什么 / 什么时候打开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README.md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2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快速导航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三句话说明这个包是什么、从哪看起。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build_all.py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2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构建脚本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重新生成对应产物的脚本，不参与交付。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build_deck.py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44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构建脚本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重新生成对应产物的脚本，不参与交付。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build_file_guide.py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23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构建脚本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重新生成对应产物的脚本，不参与交付。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build_narrative_docx.py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15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构建脚本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重新生成对应产物的脚本，不参与交付。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build_queries.py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4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构建脚本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重新生成对应产物的脚本，不参与交付。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erd.py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15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构建脚本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重新生成对应产物的脚本，不参与交付。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fault_injection.py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5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构建脚本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重新生成对应产物的脚本，不参与交付。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gen_normalization_xlsx.py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24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构建脚本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重新生成对应产物的脚本，不参与交付。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gen_seed.py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42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构建脚本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重新生成对应产物的脚本，不参与交付。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queries_template.sql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23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构建脚本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重新生成对应产物的脚本，不参与交付。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run_queries.py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2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构建脚本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重新生成对应产物的脚本，不参与交付。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verify_data.py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8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构建脚本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重新生成对应产物的脚本，不参与交付。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微软雅黑" w:hAnsi="微软雅黑" w:eastAsia="微软雅黑"/>
          <w:b/>
          <w:color w:val="0E2A47"/>
          <w:sz w:val="23"/>
        </w:rPr>
        <w:t>design/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大小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是什么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里面是什么 / 什么时候打开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Constraint_Inventory.md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10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约束清单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每条业务规则落在 DDL / 触发器 / 应用哪一层，违反时什么反应。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Design_Rationale.md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12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设计理由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为什么是这些表、为什么用弱实体、为什么存派生值、哪些方案被否决。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Entity_Relationship_Catalog.md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13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实体—联系目录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逐条列出实体与联系：基数、参与度、属性，以及图里表达不了的约束。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Normalization_Proof.xlsx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29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规范化证明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逐表的函数依赖、候选键与 3NF/BCNF 论证。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Relational_Schema.md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关系模式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把 ER 设计翻译成关系，用 R(属性…) 写法，主外键齐全。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Requirements.md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8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需求与范围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业务问题、角色、功能需求、边界与假设。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微软雅黑" w:hAnsi="微软雅黑" w:eastAsia="微软雅黑"/>
          <w:b/>
          <w:color w:val="0E2A47"/>
          <w:sz w:val="23"/>
        </w:rPr>
        <w:t>erd/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大小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是什么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里面是什么 / 什么时候打开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ERD_conceptual.png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359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概念 ER 图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实体与联系菱形，标注基数。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ERD_conceptual.svg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83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矢量图版本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放大不糊，浏览器可直接打开。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ERD_logical_full.png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267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逻辑模式全图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全部表的字段、主外键与连线。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ERD_logical_full.svg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179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矢量图版本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放大不糊，浏览器可直接打开。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ERD_module_demand.png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135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模块 ER 图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该模块的放大视图。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ERD_module_demand.svg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92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矢量图版本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放大不糊，浏览器可直接打开。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ERD_module_hiring_loop.png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152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模块 ER 图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该模块的放大视图。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ERD_module_hiring_loop.svg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103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矢量图版本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放大不糊，浏览器可直接打开。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ERD_module_identity.png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124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模块 ER 图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该模块的放大视图。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ERD_module_identity.svg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97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矢量图版本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放大不糊，浏览器可直接打开。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微软雅黑" w:hAnsi="微软雅黑" w:eastAsia="微软雅黑"/>
          <w:b/>
          <w:color w:val="0E2A47"/>
          <w:sz w:val="23"/>
        </w:rPr>
        <w:t>query_results/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大小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是什么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里面是什么 / 什么时候打开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_consistency_report.json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3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一致性报告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跨表不变量的检查结果。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_summary.json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6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查询汇总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每条查询的行数、耗时与列名。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q01_result.csv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1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q01_result.png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84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1 条查询结果图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把结果渲染成表格图，可直接贴进幻灯片。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q02_result.csv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2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q02_result.png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100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2 条查询结果图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把结果渲染成表格图，可直接贴进幻灯片。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q03_result.csv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2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3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q04_result.csv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4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q05_result.csv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5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q05_result.png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70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5 条查询结果图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把结果渲染成表格图，可直接贴进幻灯片。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q06_result.csv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6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q07_result.csv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7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q08_result.csv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8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q09_result.csv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9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q09_result.png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76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9 条查询结果图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把结果渲染成表格图，可直接贴进幻灯片。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q10_result.csv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10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q11_result.csv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11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q12_result.csv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12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q12_result.png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73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12 条查询结果图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把结果渲染成表格图，可直接贴进幻灯片。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q13_result.csv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13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q14_result.csv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14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q15_result.csv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15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q16_result.csv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16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q17_result.csv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17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q18_result.csv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18 条查询结果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该查询在种子数据上的完整输出。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q18_result.png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75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第 18 条查询结果图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把结果渲染成表格图，可直接贴进幻灯片。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微软雅黑" w:hAnsi="微软雅黑" w:eastAsia="微软雅黑"/>
          <w:b/>
          <w:color w:val="0E2A47"/>
          <w:sz w:val="23"/>
        </w:rPr>
        <w:t>slides/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大小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是什么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里面是什么 / 什么时候打开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LinkedIn.pptx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1001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演示文稿（英文）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14 页，每页带演讲备注。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LinkedIn_CN.pptx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1003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演示文稿（中文）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14 页中文版。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LinkedIn_Narrative.docx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41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叙述稿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约 1,600 词，六节连续行文。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LinkedIn_Narrative.pdf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95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叙述稿 PDF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同上。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Presentation_Script.md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10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逐页讲稿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每页说什么、多长时间、谁讲哪段。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QA_Prep.md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8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答辩准备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最可能被问的问题，答案短到能直接说出口。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Task_Allocation.md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7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分工表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七人分工，全部为技术任务，含难度与工时。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微软雅黑" w:hAnsi="微软雅黑" w:eastAsia="微软雅黑"/>
          <w:b/>
          <w:color w:val="0E2A47"/>
          <w:sz w:val="23"/>
        </w:rPr>
        <w:t>sql/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大小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是什么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里面是什么 / 什么时候打开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00_run_all.sql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一键重建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按正确顺序调用其它脚本；顺序不能反。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01_schema.sql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17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建表脚本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建库、全部表、主外键、CHECK、索引、参照动作。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02_seed.sql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298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造数脚本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确定性种子数据，结尾自带对账语句。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03_queries.sql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23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18 条查询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分三类，每条独立可跑：选中一条按 Ctrl+R。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04_views_triggers.sql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10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视图与触发器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读模型 + 把业务规则钉死在数据库里的触发器。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05_transactions.sql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4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事务演示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几段带 ROLLBACK 的完整事务，跑完数据不变。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06_checks.sql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5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验收检查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12 行自检，每行都必须是 PASS。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linkedin_db_full.sql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7"/>
              </w:rPr>
              <w:t>274 KB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整库导出</w:t>
            </w:r>
          </w:p>
        </w:tc>
        <w:tc>
          <w:tcPr>
            <w:tcW w:type="dxa" w:w="4479"/>
          </w:tcPr>
          <w:p>
            <w:r/>
            <w:r>
              <w:rPr>
                <w:rFonts w:ascii="微软雅黑" w:hAnsi="微软雅黑" w:eastAsia="微软雅黑"/>
                <w:sz w:val="17"/>
              </w:rPr>
              <w:t>结构 + 数据 + 视图 + 触发器，一键还原。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rFonts w:ascii="微软雅黑" w:hAnsi="微软雅黑" w:eastAsia="微软雅黑"/>
          <w:b/>
          <w:color w:val="0E2A47"/>
          <w:sz w:val="30"/>
        </w:rPr>
        <w:t>三、怎么重建数据库</w:t>
      </w:r>
    </w:p>
    <w:p>
      <w:pPr>
        <w:spacing w:after="40"/>
      </w:pPr>
      <w:r>
        <w:rPr>
          <w:rFonts w:ascii="微软雅黑" w:hAnsi="微软雅黑" w:eastAsia="微软雅黑"/>
          <w:i w:val="0"/>
          <w:sz w:val="19"/>
        </w:rPr>
        <w:t>Navicat：右键连接 → 运行 SQL 文件 → sql/linkedin_db_full.sql。</w:t>
      </w:r>
    </w:p>
    <w:p>
      <w:pPr>
        <w:spacing w:after="40"/>
      </w:pPr>
      <w:r>
        <w:rPr>
          <w:rFonts w:ascii="微软雅黑" w:hAnsi="微软雅黑" w:eastAsia="微软雅黑"/>
          <w:i w:val="0"/>
          <w:sz w:val="19"/>
        </w:rPr>
        <w:t>或者按顺序：01_schema → 02_seed → 04_views_triggers → 06_checks → 03_queries。</w:t>
      </w:r>
    </w:p>
    <w:p>
      <w:pPr>
        <w:spacing w:after="40"/>
      </w:pPr>
      <w:r>
        <w:rPr>
          <w:rFonts w:ascii="微软雅黑" w:hAnsi="微软雅黑" w:eastAsia="微软雅黑"/>
          <w:i w:val="0"/>
          <w:sz w:val="19"/>
        </w:rPr>
        <w:t>命令行：mysql -u root -p &lt; 00_run_all.sql</w:t>
      </w:r>
    </w:p>
    <w:p>
      <w:pPr>
        <w:spacing w:after="160"/>
      </w:pPr>
      <w:r>
        <w:rPr>
          <w:rFonts w:ascii="微软雅黑" w:hAnsi="微软雅黑" w:eastAsia="微软雅黑"/>
          <w:i w:val="0"/>
          <w:color w:val="5A6B7B"/>
          <w:sz w:val="19"/>
        </w:rPr>
        <w:t>顺序不能反：种子里有“面试后又撤回”的历史行，先建守卫触发器会拒绝它们。</w:t>
      </w:r>
    </w:p>
    <w:p>
      <w:pPr>
        <w:keepNext/>
        <w:spacing w:before="320" w:after="120"/>
      </w:pPr>
      <w:r>
        <w:rPr>
          <w:rFonts w:ascii="微软雅黑" w:hAnsi="微软雅黑" w:eastAsia="微软雅黑"/>
          <w:b/>
          <w:color w:val="0E2A47"/>
          <w:sz w:val="30"/>
        </w:rPr>
        <w:t>四、怎么验证</w:t>
      </w:r>
    </w:p>
    <w:p>
      <w:pPr>
        <w:spacing w:after="120"/>
      </w:pPr>
      <w:r>
        <w:rPr>
          <w:rFonts w:ascii="微软雅黑" w:hAnsi="微软雅黑" w:eastAsia="微软雅黑"/>
          <w:i w:val="0"/>
          <w:sz w:val="19"/>
        </w:rPr>
        <w:t>8 步，前 6 步约三分钟。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4"/>
        <w:gridCol w:w="2608"/>
        <w:gridCol w:w="4195"/>
        <w:gridCol w:w="3288"/>
      </w:tblGrid>
      <w:tr>
        <w:tc>
          <w:tcPr>
            <w:tcW w:type="dxa" w:w="454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#</w:t>
            </w:r>
          </w:p>
        </w:tc>
        <w:tc>
          <w:tcPr>
            <w:tcW w:type="dxa" w:w="2608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检查什么</w:t>
            </w:r>
          </w:p>
        </w:tc>
        <w:tc>
          <w:tcPr>
            <w:tcW w:type="dxa" w:w="4195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怎么做</w:t>
            </w:r>
          </w:p>
        </w:tc>
        <w:tc>
          <w:tcPr>
            <w:tcW w:type="dxa" w:w="3288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什么样算通过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服务在跑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7"/>
              </w:rPr>
              <w:t>MySQL80 运行中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7"/>
              </w:rPr>
              <w:t>已启动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连得上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7"/>
              </w:rPr>
              <w:t>Navicat 测试连接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7"/>
              </w:rPr>
              <w:t>成功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结构完整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7"/>
              </w:rPr>
              <w:t>还原整库后展开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7"/>
              </w:rPr>
              <w:t>12 表、4 视图、4 触发器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数据进来了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7"/>
              </w:rPr>
              <w:t>member / application / interview 计数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7"/>
              </w:rPr>
              <w:t>300 / 250 / 210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7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验收脚本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7"/>
              </w:rPr>
              <w:t>跑 06_checks.sql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7"/>
              </w:rPr>
              <w:t>12 行全 PASS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7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查询出得来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7"/>
              </w:rPr>
              <w:t>跑 03_queries.sql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7"/>
              </w:rPr>
              <w:t>q01 七行、q09 十二行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7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约束会拒绝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7"/>
              </w:rPr>
              <w:t>执行下面三条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7"/>
              </w:rPr>
              <w:t>每条都报错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7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不变量成立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7"/>
              </w:rPr>
              <w:t>看 _consistency_report.json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7"/>
              </w:rPr>
              <w:t>22 项全 PASS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i w:val="0"/>
          <w:sz w:val="19"/>
        </w:rPr>
        <w:t>下面三条是故意写错的，必须报错。哪条不报错，说明那条约束没生效。</w:t>
      </w:r>
    </w:p>
    <w:p>
      <w:pPr>
        <w:spacing w:after="20"/>
      </w:pPr>
      <w:r>
        <w:rPr>
          <w:rFonts w:ascii="微软雅黑" w:hAnsi="微软雅黑" w:eastAsia="微软雅黑"/>
          <w:b/>
          <w:sz w:val="19"/>
        </w:rPr>
        <w:t>外部人员写内推</w:t>
      </w:r>
    </w:p>
    <w:p>
      <w:pPr>
        <w:spacing w:after="20"/>
      </w:pPr>
      <w:r>
        <w:rPr>
          <w:rFonts w:ascii="Consolas" w:hAnsi="Consolas" w:eastAsia="微软雅黑"/>
          <w:i w:val="0"/>
          <w:sz w:val="17"/>
        </w:rPr>
        <w:t>INSERT INTO referral (application_id, referrer_id, relationship, referred_at, bonus_amount, bonus_status)</w:t>
        <w:br/>
        <w:t>VALUES (1, 1, 'OTHER', NOW(), 0, 'NONE');</w:t>
      </w:r>
    </w:p>
    <w:p>
      <w:pPr>
        <w:spacing w:after="120"/>
      </w:pPr>
      <w:r>
        <w:rPr>
          <w:rFonts w:ascii="微软雅黑" w:hAnsi="微软雅黑" w:eastAsia="微软雅黑"/>
          <w:i w:val="0"/>
          <w:color w:val="5A6B7B"/>
          <w:sz w:val="18"/>
        </w:rPr>
        <w:t>预期：错误 1644，推荐人不在该公司</w:t>
      </w:r>
    </w:p>
    <w:p>
      <w:pPr>
        <w:spacing w:after="20"/>
      </w:pPr>
      <w:r>
        <w:rPr>
          <w:rFonts w:ascii="微软雅黑" w:hAnsi="微软雅黑" w:eastAsia="微软雅黑"/>
          <w:b/>
          <w:sz w:val="19"/>
        </w:rPr>
        <w:t>简历阶段排面试</w:t>
      </w:r>
    </w:p>
    <w:p>
      <w:pPr>
        <w:spacing w:after="20"/>
      </w:pPr>
      <w:r>
        <w:rPr>
          <w:rFonts w:ascii="Consolas" w:hAnsi="Consolas" w:eastAsia="微软雅黑"/>
          <w:i w:val="0"/>
          <w:sz w:val="17"/>
        </w:rPr>
        <w:t>INSERT INTO interview (application_id, round_no, interview_type, scheduled_at, duration_min, interviewer_id, outcome)</w:t>
        <w:br/>
        <w:t>VALUES (9, 1, 'PHONE', NOW() + INTERVAL 2 DAY, 30, 1, 'PENDING');</w:t>
      </w:r>
    </w:p>
    <w:p>
      <w:pPr>
        <w:spacing w:after="120"/>
      </w:pPr>
      <w:r>
        <w:rPr>
          <w:rFonts w:ascii="微软雅黑" w:hAnsi="微软雅黑" w:eastAsia="微软雅黑"/>
          <w:i w:val="0"/>
          <w:color w:val="5A6B7B"/>
          <w:sz w:val="18"/>
        </w:rPr>
        <w:t>预期：错误 1644，申请未到面试阶段</w:t>
      </w:r>
    </w:p>
    <w:p>
      <w:pPr>
        <w:spacing w:after="20"/>
      </w:pPr>
      <w:r>
        <w:rPr>
          <w:rFonts w:ascii="微软雅黑" w:hAnsi="微软雅黑" w:eastAsia="微软雅黑"/>
          <w:b/>
          <w:sz w:val="19"/>
        </w:rPr>
        <w:t>重复投递同一职位</w:t>
      </w:r>
    </w:p>
    <w:p>
      <w:pPr>
        <w:spacing w:after="20"/>
      </w:pPr>
      <w:r>
        <w:rPr>
          <w:rFonts w:ascii="Consolas" w:hAnsi="Consolas" w:eastAsia="微软雅黑"/>
          <w:i w:val="0"/>
          <w:sz w:val="17"/>
        </w:rPr>
        <w:t>INSERT INTO application (job_id, member_id, source_channel, status, applied_at)</w:t>
        <w:br/>
        <w:t>VALUES (1, 1, 'DIRECT', 'SUBMITTED', NOW());</w:t>
      </w:r>
    </w:p>
    <w:p>
      <w:pPr>
        <w:spacing w:after="120"/>
      </w:pPr>
      <w:r>
        <w:rPr>
          <w:rFonts w:ascii="微软雅黑" w:hAnsi="微软雅黑" w:eastAsia="微软雅黑"/>
          <w:i w:val="0"/>
          <w:color w:val="5A6B7B"/>
          <w:sz w:val="18"/>
        </w:rPr>
        <w:t>预期：错误 1062，唯一键冲突</w:t>
      </w:r>
    </w:p>
    <w:p>
      <w:pPr>
        <w:keepNext/>
        <w:spacing w:before="320" w:after="120"/>
      </w:pPr>
      <w:r>
        <w:rPr>
          <w:rFonts w:ascii="微软雅黑" w:hAnsi="微软雅黑" w:eastAsia="微软雅黑"/>
          <w:b/>
          <w:color w:val="0E2A47"/>
          <w:sz w:val="30"/>
        </w:rPr>
        <w:t>五、交付前检查了什么</w:t>
      </w:r>
    </w:p>
    <w:p>
      <w:pPr>
        <w:spacing w:after="120"/>
      </w:pPr>
      <w:r>
        <w:rPr>
          <w:rFonts w:ascii="微软雅黑" w:hAnsi="微软雅黑" w:eastAsia="微软雅黑"/>
          <w:i w:val="0"/>
          <w:sz w:val="19"/>
        </w:rPr>
        <w:t>12 项，全部实跑。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5329"/>
        <w:gridCol w:w="2041"/>
        <w:gridCol w:w="1247"/>
      </w:tblGrid>
      <w:tr>
        <w:tc>
          <w:tcPr>
            <w:tcW w:type="dxa" w:w="680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#</w:t>
            </w:r>
          </w:p>
        </w:tc>
        <w:tc>
          <w:tcPr>
            <w:tcW w:type="dxa" w:w="5329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2041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不符合行数</w:t>
            </w:r>
          </w:p>
        </w:tc>
        <w:tc>
          <w:tcPr>
            <w:tcW w:type="dxa" w:w="1247"/>
            <w:shd w:val="clear" w:fill="0E2A47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结果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7"/>
              </w:rPr>
              <w:t>C01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7"/>
              </w:rPr>
              <w:t>12 张表都在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12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7"/>
              </w:rPr>
              <w:t>C02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7"/>
              </w:rPr>
              <w:t>4 视图 + 4 触发器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8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7"/>
              </w:rPr>
              <w:t>C03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7"/>
              </w:rPr>
              <w:t>决定时间不早于投递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7"/>
              </w:rPr>
              <w:t>C04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7"/>
              </w:rPr>
              <w:t>终态都有决定时间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7"/>
              </w:rPr>
              <w:t>C05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7"/>
              </w:rPr>
              <w:t>进行中没有决定时间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7"/>
              </w:rPr>
              <w:t>C06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7"/>
              </w:rPr>
              <w:t>录用不超名额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7"/>
              </w:rPr>
              <w:t>C07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7"/>
              </w:rPr>
              <w:t>没有自己连自己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7"/>
              </w:rPr>
              <w:t>C08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7"/>
              </w:rPr>
              <w:t>没有重复好友关系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7"/>
              </w:rPr>
              <w:t>C09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7"/>
              </w:rPr>
              <w:t>熟练度在 1–5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7"/>
              </w:rPr>
              <w:t>C10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7"/>
              </w:rPr>
              <w:t>评分在 1–5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7"/>
              </w:rPr>
              <w:t>C11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7"/>
              </w:rPr>
              <w:t>内推都来自公司内部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7"/>
              </w:rPr>
              <w:t>C12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7"/>
              </w:rPr>
              <w:t>每人只有一段在职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7"/>
              </w:rPr>
              <w:t>PASS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rFonts w:ascii="微软雅黑" w:hAnsi="微软雅黑" w:eastAsia="微软雅黑"/>
          <w:b/>
          <w:color w:val="0E2A47"/>
          <w:sz w:val="30"/>
        </w:rPr>
        <w:t>六、几个值得知道的设计决定</w:t>
      </w:r>
    </w:p>
    <w:p>
      <w:pPr>
        <w:spacing w:after="20"/>
      </w:pPr>
      <w:r>
        <w:rPr>
          <w:rFonts w:ascii="微软雅黑" w:hAnsi="微软雅黑" w:eastAsia="微软雅黑"/>
          <w:b/>
          <w:sz w:val="19"/>
        </w:rPr>
        <w:t>12 张表</w:t>
      </w:r>
    </w:p>
    <w:p>
      <w:pPr>
        <w:spacing w:after="120"/>
      </w:pPr>
      <w:r>
        <w:rPr>
          <w:rFonts w:ascii="微软雅黑" w:hAnsi="微软雅黑" w:eastAsia="微软雅黑"/>
          <w:i w:val="0"/>
          <w:color w:val="5A6B7B"/>
          <w:sz w:val="19"/>
        </w:rPr>
        <w:t>11 个实体加 connection 这条自反关系；当前雇主不落列。</w:t>
      </w:r>
    </w:p>
    <w:p>
      <w:pPr>
        <w:spacing w:after="20"/>
      </w:pPr>
      <w:r>
        <w:rPr>
          <w:rFonts w:ascii="微软雅黑" w:hAnsi="微软雅黑" w:eastAsia="微软雅黑"/>
          <w:b/>
          <w:sz w:val="19"/>
        </w:rPr>
        <w:t>当前雇主是推出来的</w:t>
      </w:r>
    </w:p>
    <w:p>
      <w:pPr>
        <w:spacing w:after="120"/>
      </w:pPr>
      <w:r>
        <w:rPr>
          <w:rFonts w:ascii="微软雅黑" w:hAnsi="微软雅黑" w:eastAsia="微软雅黑"/>
          <w:i w:val="0"/>
          <w:color w:val="5A6B7B"/>
          <w:sz w:val="19"/>
        </w:rPr>
        <w:t>experience.is_current + 生成列唯一索引。</w:t>
      </w:r>
    </w:p>
    <w:p>
      <w:pPr>
        <w:spacing w:after="20"/>
      </w:pPr>
      <w:r>
        <w:rPr>
          <w:rFonts w:ascii="微软雅黑" w:hAnsi="微软雅黑" w:eastAsia="微软雅黑"/>
          <w:b/>
          <w:sz w:val="19"/>
        </w:rPr>
        <w:t>内推与申请 1:1</w:t>
      </w:r>
    </w:p>
    <w:p>
      <w:pPr>
        <w:spacing w:after="120"/>
      </w:pPr>
      <w:r>
        <w:rPr>
          <w:rFonts w:ascii="微软雅黑" w:hAnsi="微软雅黑" w:eastAsia="微软雅黑"/>
          <w:i w:val="0"/>
          <w:color w:val="5A6B7B"/>
          <w:sz w:val="19"/>
        </w:rPr>
        <w:t>内推只存推荐人和奖金，候选人与职位从申请读。</w:t>
      </w:r>
    </w:p>
    <w:p>
      <w:pPr>
        <w:spacing w:after="20"/>
      </w:pPr>
      <w:r>
        <w:rPr>
          <w:rFonts w:ascii="微软雅黑" w:hAnsi="微软雅黑" w:eastAsia="微软雅黑"/>
          <w:b/>
          <w:sz w:val="19"/>
        </w:rPr>
        <w:t>守卫放在数据库里</w:t>
      </w:r>
    </w:p>
    <w:p>
      <w:pPr>
        <w:spacing w:after="120"/>
      </w:pPr>
      <w:r>
        <w:rPr>
          <w:rFonts w:ascii="微软雅黑" w:hAnsi="微软雅黑" w:eastAsia="微软雅黑"/>
          <w:i w:val="0"/>
          <w:color w:val="5A6B7B"/>
          <w:sz w:val="19"/>
        </w:rPr>
        <w:t>内推人必须在职、面试必须到阶段，任何客户端都绕不过。</w:t>
      </w:r>
    </w:p>
    <w:p>
      <w:pPr>
        <w:spacing w:after="20"/>
      </w:pPr>
      <w:r>
        <w:rPr>
          <w:rFonts w:ascii="微软雅黑" w:hAnsi="微软雅黑" w:eastAsia="微软雅黑"/>
          <w:b/>
          <w:sz w:val="19"/>
        </w:rPr>
        <w:t>数据是合成的</w:t>
      </w:r>
    </w:p>
    <w:p>
      <w:pPr>
        <w:spacing w:after="120"/>
      </w:pPr>
      <w:r>
        <w:rPr>
          <w:rFonts w:ascii="微软雅黑" w:hAnsi="微软雅黑" w:eastAsia="微软雅黑"/>
          <w:i w:val="0"/>
          <w:color w:val="5A6B7B"/>
          <w:sz w:val="19"/>
        </w:rPr>
        <w:t>分布合理但非实测；所有结论只描述种子数据。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