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direct intervention in the distribution of assets and opportunities was needed to resolve the economic disparities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