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With the exception of Ireland, the countries at risk of default in 2011 (Greece, Italy, Spain, Portugal) were notable for their high Gini-measured levels of income inequality compared to other European countries. As measured by the Gini index, Greece as of 2008 had more income inequality than the economically healthy Germany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