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Government policy provides preferential placement for ethnic Malays, and 95% of all new intakes for the army, hospital nurses, police, and other government institutions are Malays. As of 2004, only 7% of all government servants are ethnic Chinese, a drop from 30% in 1960. All eight of the directors of the national petroleum company, Petronas, are Malays, and only 3% of Petronas employees are Chinese. Additionally, 95% of all government contracts are awarded to ethnic Malays [REF]. (See also Bumiputra) The mean income for Malays, Chinese and Indians in 1957/58 were 134, 288 and 228 respectively. In 1967/68 it was 154, 329 and 245, and in 1970 it was 170, 390 and 300. Mean income disparity ratio for Chinese/Malays rose from 2.1 in 1957/58 to 2.3 in 1970, whereas for Indians/Malays the disparity ratio also rose from 1.7 to 1.8 in the same period [REF]. The Malays viewed Independence as restoring their proper place in their own country's socioeconomic order while the non-Malays were opposing government efforts to advance Malay political primacy and economic welfare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